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p w:rsidR="00592E0A" w14:paraId="0D1EC769" w14:textId="77777777">
      <w:pPr>
        <w:pStyle w:val="preamble"/>
        <w:spacing w:line="240" w:lineRule="auto"/>
        <w:jc w:val="center"/>
        <w:rPr>
          <w:b/>
          <w:color w:val="auto"/>
          <w:shd w:val="clear" w:color="auto" w:fill="auto"/>
        </w:rPr>
      </w:pPr>
      <w:r>
        <w:rPr>
          <w:b/>
        </w:rPr>
        <w:t>PROJECT NO. 4</w:t>
      </w:r>
      <w:r w:rsidR="0035025D">
        <w:rPr>
          <w:b/>
        </w:rPr>
        <w:t>9125</w:t>
      </w:r>
    </w:p>
    <w:p w:rsidR="00592E0A" w14:paraId="70D4B7B2" w14:textId="77777777">
      <w:pPr>
        <w:pStyle w:val="preamble"/>
        <w:spacing w:line="240" w:lineRule="auto"/>
        <w:ind w:left="360"/>
        <w:jc w:val="center"/>
        <w:rPr>
          <w:b/>
          <w:color w:val="auto"/>
          <w:shd w:val="clear" w:color="auto" w:fill="auto"/>
        </w:rPr>
      </w:pPr>
    </w:p>
    <w:tbl>
      <w:tblPr>
        <w:tblW w:w="0" w:type="auto"/>
        <w:tblLayout w:type="fixed"/>
        <w:tblLook w:val="0000"/>
      </w:tblPr>
      <w:tblGrid>
        <w:gridCol w:w="4608"/>
        <w:gridCol w:w="360"/>
        <w:gridCol w:w="4086"/>
      </w:tblGrid>
      <w:tr w14:paraId="62354491" w14:textId="77777777" w:rsidTr="003139FA">
        <w:tblPrEx>
          <w:tblW w:w="0" w:type="auto"/>
          <w:tblLayout w:type="fixed"/>
          <w:tblLook w:val="0000"/>
        </w:tblPrEx>
        <w:tc>
          <w:tcPr>
            <w:tcW w:w="4608" w:type="dxa"/>
          </w:tcPr>
          <w:p w:rsidR="00592E0A" w:rsidP="0035025D" w14:paraId="2B981C7B" w14:textId="77777777">
            <w:pPr>
              <w:pStyle w:val="preamble"/>
              <w:spacing w:line="240" w:lineRule="auto"/>
              <w:ind w:right="-198"/>
              <w:rPr>
                <w:b/>
                <w:color w:val="000000"/>
                <w:szCs w:val="24"/>
                <w:shd w:val="clear" w:color="auto" w:fill="auto"/>
              </w:rPr>
            </w:pPr>
            <w:r>
              <w:rPr>
                <w:b/>
                <w:color w:val="000000"/>
                <w:szCs w:val="24"/>
              </w:rPr>
              <w:t>R</w:t>
            </w:r>
            <w:r w:rsidR="0035025D">
              <w:rPr>
                <w:b/>
                <w:color w:val="000000"/>
                <w:szCs w:val="24"/>
              </w:rPr>
              <w:t>EVIEW OF ISSUES RELATING TO ELECTRIC VEHICLES</w:t>
            </w:r>
            <w:r>
              <w:rPr>
                <w:b/>
                <w:color w:val="000000"/>
                <w:szCs w:val="24"/>
              </w:rPr>
              <w:t xml:space="preserve"> </w:t>
            </w:r>
          </w:p>
        </w:tc>
        <w:tc>
          <w:tcPr>
            <w:tcW w:w="360" w:type="dxa"/>
          </w:tcPr>
          <w:p w:rsidR="00592E0A" w14:paraId="0589550E" w14:textId="77777777">
            <w:pPr>
              <w:pStyle w:val="preamble"/>
              <w:spacing w:line="240" w:lineRule="auto"/>
              <w:ind w:left="72"/>
              <w:jc w:val="center"/>
              <w:rPr>
                <w:b/>
                <w:color w:val="auto"/>
                <w:szCs w:val="24"/>
                <w:shd w:val="clear" w:color="auto" w:fill="auto"/>
              </w:rPr>
            </w:pPr>
            <w:r>
              <w:rPr>
                <w:b/>
                <w:szCs w:val="24"/>
              </w:rPr>
              <w:t>§</w:t>
            </w:r>
          </w:p>
          <w:p w:rsidR="00592E0A" w14:paraId="0090C0AC" w14:textId="77777777">
            <w:pPr>
              <w:pStyle w:val="preamble"/>
              <w:spacing w:line="240" w:lineRule="auto"/>
              <w:ind w:left="72"/>
              <w:jc w:val="center"/>
              <w:rPr>
                <w:b/>
                <w:color w:val="auto"/>
                <w:szCs w:val="24"/>
                <w:shd w:val="clear" w:color="auto" w:fill="auto"/>
              </w:rPr>
            </w:pPr>
            <w:r>
              <w:rPr>
                <w:b/>
                <w:szCs w:val="24"/>
              </w:rPr>
              <w:t>§</w:t>
            </w:r>
          </w:p>
          <w:p w:rsidR="00592E0A" w14:paraId="4C3C3E01" w14:textId="77777777">
            <w:pPr>
              <w:pStyle w:val="preamble"/>
              <w:spacing w:line="240" w:lineRule="auto"/>
              <w:ind w:left="72"/>
              <w:jc w:val="center"/>
              <w:rPr>
                <w:b/>
                <w:color w:val="auto"/>
                <w:szCs w:val="24"/>
                <w:shd w:val="clear" w:color="auto" w:fill="auto"/>
              </w:rPr>
            </w:pPr>
          </w:p>
        </w:tc>
        <w:tc>
          <w:tcPr>
            <w:tcW w:w="4086" w:type="dxa"/>
          </w:tcPr>
          <w:p w:rsidR="00592E0A" w14:paraId="3E239D0F" w14:textId="77777777">
            <w:pPr>
              <w:pStyle w:val="preamble"/>
              <w:spacing w:line="240" w:lineRule="auto"/>
              <w:ind w:left="72"/>
              <w:jc w:val="center"/>
              <w:rPr>
                <w:b/>
                <w:color w:val="auto"/>
                <w:szCs w:val="24"/>
                <w:shd w:val="clear" w:color="auto" w:fill="auto"/>
              </w:rPr>
            </w:pPr>
            <w:r>
              <w:rPr>
                <w:b/>
                <w:szCs w:val="24"/>
              </w:rPr>
              <w:t>PUBLIC UTILITY COMMISSION</w:t>
            </w:r>
          </w:p>
          <w:p w:rsidR="00592E0A" w14:paraId="774D0E94" w14:textId="77777777">
            <w:pPr>
              <w:pStyle w:val="preamble"/>
              <w:spacing w:line="240" w:lineRule="auto"/>
              <w:ind w:left="72"/>
              <w:jc w:val="center"/>
              <w:rPr>
                <w:b/>
                <w:color w:val="auto"/>
                <w:szCs w:val="24"/>
                <w:shd w:val="clear" w:color="auto" w:fill="auto"/>
              </w:rPr>
            </w:pPr>
            <w:r>
              <w:rPr>
                <w:b/>
                <w:szCs w:val="24"/>
              </w:rPr>
              <w:t>OF TEXAS</w:t>
            </w:r>
          </w:p>
        </w:tc>
      </w:tr>
    </w:tbl>
    <w:p w:rsidR="00592E0A" w14:paraId="309451CF" w14:textId="77777777">
      <w:pPr>
        <w:pStyle w:val="preamble"/>
        <w:tabs>
          <w:tab w:val="left" w:pos="0"/>
        </w:tabs>
        <w:spacing w:line="240" w:lineRule="auto"/>
        <w:jc w:val="center"/>
        <w:rPr>
          <w:b/>
          <w:color w:val="auto"/>
          <w:shd w:val="clear" w:color="auto" w:fill="auto"/>
        </w:rPr>
      </w:pPr>
    </w:p>
    <w:p w:rsidR="00592E0A" w14:paraId="45133197" w14:textId="77777777">
      <w:pPr>
        <w:pStyle w:val="preamble"/>
        <w:tabs>
          <w:tab w:val="left" w:pos="0"/>
        </w:tabs>
        <w:spacing w:line="240" w:lineRule="auto"/>
        <w:jc w:val="center"/>
        <w:rPr>
          <w:b/>
          <w:caps/>
          <w:color w:val="auto"/>
          <w:shd w:val="clear" w:color="auto" w:fill="auto"/>
        </w:rPr>
      </w:pPr>
      <w:r>
        <w:rPr>
          <w:b/>
          <w:caps/>
        </w:rPr>
        <w:t>Oncor Electric Delivery Company LLC’S</w:t>
      </w:r>
    </w:p>
    <w:p w:rsidR="00592E0A" w14:paraId="0C623AF6" w14:textId="77777777">
      <w:pPr>
        <w:pStyle w:val="preamble"/>
        <w:tabs>
          <w:tab w:val="left" w:pos="0"/>
        </w:tabs>
        <w:spacing w:line="240" w:lineRule="auto"/>
        <w:jc w:val="center"/>
        <w:rPr>
          <w:b/>
          <w:caps/>
          <w:color w:val="auto"/>
          <w:u w:val="single"/>
          <w:shd w:val="clear" w:color="auto" w:fill="auto"/>
        </w:rPr>
      </w:pPr>
      <w:r>
        <w:rPr>
          <w:b/>
          <w:caps/>
          <w:u w:val="single"/>
        </w:rPr>
        <w:t>r</w:t>
      </w:r>
      <w:r>
        <w:rPr>
          <w:b/>
          <w:caps/>
          <w:u w:val="single"/>
        </w:rPr>
        <w:t>ESPONSE TO QUESTIONS</w:t>
      </w:r>
    </w:p>
    <w:p w:rsidR="00592E0A" w14:paraId="2F7C9F53" w14:textId="77777777">
      <w:pPr>
        <w:pStyle w:val="preamble"/>
        <w:tabs>
          <w:tab w:val="left" w:pos="0"/>
        </w:tabs>
        <w:spacing w:line="240" w:lineRule="auto"/>
        <w:jc w:val="center"/>
        <w:rPr>
          <w:b/>
          <w:color w:val="auto"/>
          <w:shd w:val="clear" w:color="auto" w:fill="auto"/>
        </w:rPr>
      </w:pPr>
    </w:p>
    <w:p w:rsidR="00592E0A" w14:paraId="5AF8F038" w14:textId="77777777">
      <w:pPr>
        <w:widowControl w:val="0"/>
        <w:spacing w:after="0" w:line="360" w:lineRule="auto"/>
        <w:rPr>
          <w:rFonts w:ascii="Times New Roman" w:hAnsi="Times New Roman"/>
          <w:color w:val="auto"/>
          <w:sz w:val="24"/>
          <w:szCs w:val="24"/>
          <w:shd w:val="clear" w:color="auto" w:fill="auto"/>
        </w:rPr>
      </w:pPr>
      <w:bookmarkStart w:id="0" w:name="_DV_M2"/>
      <w:bookmarkEnd w:id="0"/>
      <w:r>
        <w:rPr>
          <w:rFonts w:ascii="Times New Roman" w:hAnsi="Times New Roman"/>
          <w:b/>
          <w:bCs/>
          <w:sz w:val="24"/>
          <w:szCs w:val="24"/>
        </w:rPr>
        <w:t xml:space="preserve">TO THE HONORABLE PUBLIC UTILITY COMMISSION OF </w:t>
      </w:r>
      <w:r>
        <w:rPr>
          <w:rFonts w:ascii="Times New Roman" w:hAnsi="Times New Roman"/>
          <w:b/>
          <w:bCs/>
          <w:sz w:val="24"/>
          <w:szCs w:val="24"/>
        </w:rPr>
        <w:t>TEXAS</w:t>
      </w:r>
      <w:r>
        <w:rPr>
          <w:rFonts w:ascii="Times New Roman" w:hAnsi="Times New Roman"/>
          <w:b/>
          <w:bCs/>
          <w:sz w:val="24"/>
          <w:szCs w:val="24"/>
        </w:rPr>
        <w:t>:</w:t>
      </w:r>
    </w:p>
    <w:p w:rsidR="00592E0A" w14:paraId="1B246F9C" w14:textId="685B71DF">
      <w:pPr>
        <w:widowControl w:val="0"/>
        <w:spacing w:after="0" w:line="360" w:lineRule="auto"/>
        <w:jc w:val="both"/>
        <w:rPr>
          <w:rFonts w:ascii="Times New Roman" w:hAnsi="Times New Roman"/>
          <w:color w:val="auto"/>
          <w:sz w:val="24"/>
          <w:szCs w:val="24"/>
          <w:shd w:val="clear" w:color="auto" w:fill="auto"/>
        </w:rPr>
      </w:pPr>
      <w:r>
        <w:rPr>
          <w:rFonts w:ascii="Times New Roman" w:hAnsi="Times New Roman"/>
          <w:sz w:val="24"/>
          <w:szCs w:val="24"/>
        </w:rPr>
        <w:tab/>
        <w:t xml:space="preserve">COMES NOW Oncor Electric Delivery Company LLC (“Oncor”) and files this its Response to the Questions published </w:t>
      </w:r>
      <w:r w:rsidR="008B0BE0">
        <w:rPr>
          <w:rFonts w:ascii="Times New Roman" w:hAnsi="Times New Roman"/>
          <w:sz w:val="24"/>
          <w:szCs w:val="24"/>
        </w:rPr>
        <w:t xml:space="preserve">in the Texas Register </w:t>
      </w:r>
      <w:r>
        <w:rPr>
          <w:rFonts w:ascii="Times New Roman" w:hAnsi="Times New Roman"/>
          <w:sz w:val="24"/>
          <w:szCs w:val="24"/>
        </w:rPr>
        <w:t xml:space="preserve">by the Public Utility Commission of Texas (“PUC” or “Commission”) on </w:t>
      </w:r>
      <w:r w:rsidR="0090516E">
        <w:rPr>
          <w:rFonts w:ascii="Times New Roman" w:hAnsi="Times New Roman"/>
          <w:sz w:val="24"/>
          <w:szCs w:val="24"/>
        </w:rPr>
        <w:t xml:space="preserve">August </w:t>
      </w:r>
      <w:r w:rsidR="002A0C6B">
        <w:rPr>
          <w:rFonts w:ascii="Times New Roman" w:hAnsi="Times New Roman"/>
          <w:sz w:val="24"/>
          <w:szCs w:val="24"/>
        </w:rPr>
        <w:t>14</w:t>
      </w:r>
      <w:r w:rsidR="00FC0F4D">
        <w:rPr>
          <w:rFonts w:ascii="Times New Roman" w:hAnsi="Times New Roman"/>
          <w:sz w:val="24"/>
          <w:szCs w:val="24"/>
        </w:rPr>
        <w:t>,</w:t>
      </w:r>
      <w:r>
        <w:rPr>
          <w:rFonts w:ascii="Times New Roman" w:hAnsi="Times New Roman"/>
          <w:sz w:val="24"/>
          <w:szCs w:val="24"/>
        </w:rPr>
        <w:t xml:space="preserve"> 20</w:t>
      </w:r>
      <w:r w:rsidR="0090516E">
        <w:rPr>
          <w:rFonts w:ascii="Times New Roman" w:hAnsi="Times New Roman"/>
          <w:sz w:val="24"/>
          <w:szCs w:val="24"/>
        </w:rPr>
        <w:t>20</w:t>
      </w:r>
      <w:r>
        <w:rPr>
          <w:rFonts w:ascii="Times New Roman" w:hAnsi="Times New Roman"/>
          <w:sz w:val="24"/>
          <w:szCs w:val="24"/>
        </w:rPr>
        <w:t xml:space="preserve">.  </w:t>
      </w:r>
    </w:p>
    <w:p w:rsidR="00A00662" w:rsidRPr="00A00662" w:rsidP="00A00662" w14:paraId="5FDA704A" w14:textId="77777777">
      <w:pPr>
        <w:widowControl w:val="0"/>
        <w:spacing w:after="0" w:line="360" w:lineRule="auto"/>
        <w:ind w:left="360"/>
        <w:jc w:val="center"/>
        <w:rPr>
          <w:rFonts w:ascii="Times New Roman" w:hAnsi="Times New Roman"/>
          <w:b/>
          <w:color w:val="auto"/>
          <w:sz w:val="24"/>
          <w:szCs w:val="24"/>
          <w:u w:val="single"/>
          <w:shd w:val="clear" w:color="auto" w:fill="auto"/>
        </w:rPr>
      </w:pPr>
      <w:r>
        <w:rPr>
          <w:rFonts w:ascii="Times New Roman" w:hAnsi="Times New Roman"/>
          <w:b/>
          <w:sz w:val="24"/>
          <w:szCs w:val="24"/>
          <w:u w:val="single"/>
        </w:rPr>
        <w:t>I.  INTRODUCTION</w:t>
      </w:r>
    </w:p>
    <w:p w:rsidR="009A7A06" w:rsidRPr="00FC0F4D" w:rsidP="0090516E" w14:paraId="794F2AB7" w14:textId="3A3C9F95">
      <w:pPr>
        <w:widowControl w:val="0"/>
        <w:spacing w:after="0" w:line="360" w:lineRule="auto"/>
        <w:jc w:val="both"/>
        <w:rPr>
          <w:rFonts w:ascii="Times New Roman" w:hAnsi="Times New Roman"/>
          <w:color w:val="auto"/>
          <w:sz w:val="24"/>
          <w:szCs w:val="24"/>
          <w:shd w:val="clear" w:color="auto" w:fill="auto"/>
        </w:rPr>
      </w:pPr>
      <w:r>
        <w:rPr>
          <w:rFonts w:ascii="Times New Roman" w:hAnsi="Times New Roman"/>
          <w:sz w:val="24"/>
          <w:szCs w:val="24"/>
        </w:rPr>
        <w:tab/>
      </w:r>
      <w:r w:rsidR="00FC0F4D">
        <w:rPr>
          <w:rFonts w:ascii="Times New Roman" w:hAnsi="Times New Roman"/>
          <w:sz w:val="24"/>
          <w:szCs w:val="24"/>
        </w:rPr>
        <w:t xml:space="preserve">The Commission is seeking </w:t>
      </w:r>
      <w:r w:rsidR="0090516E">
        <w:rPr>
          <w:rFonts w:ascii="Times New Roman" w:hAnsi="Times New Roman"/>
          <w:sz w:val="24"/>
          <w:szCs w:val="24"/>
        </w:rPr>
        <w:t xml:space="preserve">responses to four questions dealing with public policy and legal issues.  Particularly with regard to the public policy questions, Oncor will provide responses based upon the information known at the current time.  However, the </w:t>
      </w:r>
      <w:r w:rsidR="009E3810">
        <w:rPr>
          <w:rFonts w:ascii="Times New Roman" w:hAnsi="Times New Roman"/>
          <w:sz w:val="24"/>
          <w:szCs w:val="24"/>
        </w:rPr>
        <w:t>electric vehicle (“EV”)</w:t>
      </w:r>
      <w:r w:rsidR="0090516E">
        <w:rPr>
          <w:rFonts w:ascii="Times New Roman" w:hAnsi="Times New Roman"/>
          <w:sz w:val="24"/>
          <w:szCs w:val="24"/>
        </w:rPr>
        <w:t xml:space="preserve"> market</w:t>
      </w:r>
      <w:r w:rsidR="00F72758">
        <w:rPr>
          <w:rFonts w:ascii="Times New Roman" w:hAnsi="Times New Roman"/>
          <w:sz w:val="24"/>
          <w:szCs w:val="24"/>
        </w:rPr>
        <w:t xml:space="preserve"> is rapidly changing</w:t>
      </w:r>
      <w:r w:rsidR="0090516E">
        <w:rPr>
          <w:rFonts w:ascii="Times New Roman" w:hAnsi="Times New Roman"/>
          <w:sz w:val="24"/>
          <w:szCs w:val="24"/>
        </w:rPr>
        <w:t>, both for personal vehicles and commercial (particularly fleet) vehicles</w:t>
      </w:r>
      <w:r w:rsidR="00F72758">
        <w:rPr>
          <w:rFonts w:ascii="Times New Roman" w:hAnsi="Times New Roman"/>
          <w:sz w:val="24"/>
          <w:szCs w:val="24"/>
        </w:rPr>
        <w:t xml:space="preserve"> as well as </w:t>
      </w:r>
      <w:r w:rsidR="0090516E">
        <w:rPr>
          <w:rFonts w:ascii="Times New Roman" w:hAnsi="Times New Roman"/>
          <w:sz w:val="24"/>
          <w:szCs w:val="24"/>
        </w:rPr>
        <w:t>for</w:t>
      </w:r>
      <w:r w:rsidR="008D17DF">
        <w:rPr>
          <w:rFonts w:ascii="Times New Roman" w:hAnsi="Times New Roman"/>
          <w:sz w:val="24"/>
          <w:szCs w:val="24"/>
        </w:rPr>
        <w:t xml:space="preserve"> EVs</w:t>
      </w:r>
      <w:r w:rsidR="0090516E">
        <w:rPr>
          <w:rFonts w:ascii="Times New Roman" w:hAnsi="Times New Roman"/>
          <w:sz w:val="24"/>
          <w:szCs w:val="24"/>
        </w:rPr>
        <w:t xml:space="preserve"> and charging </w:t>
      </w:r>
      <w:r w:rsidR="00F72758">
        <w:rPr>
          <w:rFonts w:ascii="Times New Roman" w:hAnsi="Times New Roman"/>
          <w:sz w:val="24"/>
          <w:szCs w:val="24"/>
        </w:rPr>
        <w:t>services they require.</w:t>
      </w:r>
      <w:r w:rsidR="0090516E">
        <w:rPr>
          <w:rFonts w:ascii="Times New Roman" w:hAnsi="Times New Roman"/>
          <w:sz w:val="24"/>
          <w:szCs w:val="24"/>
        </w:rPr>
        <w:t xml:space="preserve">  What appears reasonable today may appear less so in a few months</w:t>
      </w:r>
      <w:r w:rsidR="00AD6444">
        <w:rPr>
          <w:rFonts w:ascii="Times New Roman" w:hAnsi="Times New Roman"/>
          <w:sz w:val="24"/>
          <w:szCs w:val="24"/>
        </w:rPr>
        <w:t>’</w:t>
      </w:r>
      <w:r w:rsidR="0090516E">
        <w:rPr>
          <w:rFonts w:ascii="Times New Roman" w:hAnsi="Times New Roman"/>
          <w:sz w:val="24"/>
          <w:szCs w:val="24"/>
        </w:rPr>
        <w:t xml:space="preserve"> or years</w:t>
      </w:r>
      <w:r w:rsidR="00AD6444">
        <w:rPr>
          <w:rFonts w:ascii="Times New Roman" w:hAnsi="Times New Roman"/>
          <w:sz w:val="24"/>
          <w:szCs w:val="24"/>
        </w:rPr>
        <w:t>’</w:t>
      </w:r>
      <w:r w:rsidR="0090516E">
        <w:rPr>
          <w:rFonts w:ascii="Times New Roman" w:hAnsi="Times New Roman"/>
          <w:sz w:val="24"/>
          <w:szCs w:val="24"/>
        </w:rPr>
        <w:t xml:space="preserve"> time.  Thus, while Oncor will provide its current views, it reserves the right to modify those views in light of additional information and changes to the market in the future.</w:t>
      </w:r>
    </w:p>
    <w:p w:rsidR="00592E0A" w:rsidRPr="008B0BE0" w:rsidP="00B82487" w14:paraId="175F0E60" w14:textId="5AD648E4">
      <w:pPr>
        <w:pStyle w:val="ListParagraph"/>
        <w:autoSpaceDE w:val="0"/>
        <w:autoSpaceDN w:val="0"/>
        <w:adjustRightInd w:val="0"/>
        <w:spacing w:after="0" w:line="360" w:lineRule="auto"/>
        <w:ind w:hanging="720"/>
        <w:jc w:val="center"/>
        <w:rPr>
          <w:rFonts w:ascii="Times New Roman" w:hAnsi="Times New Roman"/>
          <w:b/>
          <w:color w:val="auto"/>
          <w:sz w:val="24"/>
          <w:szCs w:val="24"/>
          <w:u w:val="single"/>
          <w:shd w:val="clear" w:color="auto" w:fill="auto"/>
        </w:rPr>
      </w:pPr>
      <w:r w:rsidRPr="008B0BE0">
        <w:rPr>
          <w:rFonts w:ascii="Times New Roman" w:hAnsi="Times New Roman"/>
          <w:b/>
          <w:sz w:val="24"/>
          <w:szCs w:val="24"/>
          <w:u w:val="single"/>
        </w:rPr>
        <w:t>I</w:t>
      </w:r>
      <w:r w:rsidRPr="008B0BE0" w:rsidR="00741728">
        <w:rPr>
          <w:rFonts w:ascii="Times New Roman" w:hAnsi="Times New Roman"/>
          <w:b/>
          <w:sz w:val="24"/>
          <w:szCs w:val="24"/>
          <w:u w:val="single"/>
        </w:rPr>
        <w:t>I</w:t>
      </w:r>
      <w:r w:rsidRPr="008B0BE0">
        <w:rPr>
          <w:rFonts w:ascii="Times New Roman" w:hAnsi="Times New Roman"/>
          <w:b/>
          <w:sz w:val="24"/>
          <w:szCs w:val="24"/>
          <w:u w:val="single"/>
        </w:rPr>
        <w:t>.  RESPONSES TO QUESTIONS</w:t>
      </w:r>
    </w:p>
    <w:p w:rsidR="003139FA" w:rsidRPr="008B0BE0" w:rsidP="001B1EF2" w14:paraId="34B72815" w14:textId="7A494C3E">
      <w:pPr>
        <w:autoSpaceDE w:val="0"/>
        <w:autoSpaceDN w:val="0"/>
        <w:adjustRightInd w:val="0"/>
        <w:spacing w:after="120" w:line="240" w:lineRule="auto"/>
        <w:jc w:val="both"/>
        <w:rPr>
          <w:rFonts w:ascii="Times New Roman" w:hAnsi="Times New Roman"/>
          <w:b/>
          <w:color w:val="auto"/>
          <w:sz w:val="24"/>
          <w:szCs w:val="24"/>
          <w:shd w:val="clear" w:color="auto" w:fill="auto"/>
        </w:rPr>
      </w:pPr>
      <w:r w:rsidRPr="008B0BE0">
        <w:rPr>
          <w:rFonts w:ascii="Times New Roman" w:hAnsi="Times New Roman"/>
          <w:b/>
          <w:sz w:val="24"/>
          <w:szCs w:val="24"/>
        </w:rPr>
        <w:t xml:space="preserve">1. </w:t>
      </w:r>
      <w:r w:rsidRPr="008B0BE0" w:rsidR="00B82487">
        <w:rPr>
          <w:rFonts w:ascii="Times New Roman" w:hAnsi="Times New Roman"/>
          <w:b/>
          <w:sz w:val="24"/>
          <w:szCs w:val="24"/>
        </w:rPr>
        <w:t xml:space="preserve"> </w:t>
      </w:r>
      <w:r w:rsidRPr="008B0BE0" w:rsidR="008B0BE0">
        <w:rPr>
          <w:rFonts w:ascii="Times New Roman" w:hAnsi="Times New Roman"/>
          <w:b/>
          <w:sz w:val="24"/>
          <w:szCs w:val="24"/>
        </w:rPr>
        <w:t>As a matter of policy, which entity or entities should be permitted to own or operate an electric vehicle charging station in the Texas competitive electric market? Is a different ownership structure appropriate for service areas not open to retail competition?</w:t>
      </w:r>
    </w:p>
    <w:p w:rsidR="008D17DF" w:rsidP="00E7579F" w14:paraId="2C06B97B" w14:textId="47371817">
      <w:pPr>
        <w:spacing w:after="0" w:line="360" w:lineRule="auto"/>
        <w:jc w:val="both"/>
        <w:rPr>
          <w:rFonts w:ascii="Times New Roman" w:hAnsi="Times New Roman"/>
          <w:color w:val="auto"/>
          <w:sz w:val="24"/>
          <w:szCs w:val="24"/>
          <w:shd w:val="clear" w:color="auto" w:fill="auto"/>
        </w:rPr>
      </w:pPr>
      <w:r>
        <w:rPr>
          <w:rFonts w:ascii="Times New Roman" w:hAnsi="Times New Roman"/>
          <w:sz w:val="24"/>
          <w:szCs w:val="24"/>
        </w:rPr>
        <w:t xml:space="preserve"> </w:t>
      </w:r>
      <w:r w:rsidR="008B0BE0">
        <w:rPr>
          <w:rFonts w:ascii="Times New Roman" w:hAnsi="Times New Roman"/>
          <w:sz w:val="24"/>
          <w:szCs w:val="24"/>
        </w:rPr>
        <w:tab/>
      </w:r>
      <w:r w:rsidR="00257A25">
        <w:rPr>
          <w:rFonts w:ascii="Times New Roman" w:hAnsi="Times New Roman"/>
          <w:sz w:val="24"/>
          <w:szCs w:val="24"/>
        </w:rPr>
        <w:t>As</w:t>
      </w:r>
      <w:r w:rsidR="009E3810">
        <w:rPr>
          <w:rFonts w:ascii="Times New Roman" w:hAnsi="Times New Roman"/>
          <w:sz w:val="24"/>
          <w:szCs w:val="24"/>
        </w:rPr>
        <w:t xml:space="preserve"> set out </w:t>
      </w:r>
      <w:r w:rsidR="00B75CD8">
        <w:rPr>
          <w:rFonts w:ascii="Times New Roman" w:hAnsi="Times New Roman"/>
          <w:sz w:val="24"/>
          <w:szCs w:val="24"/>
        </w:rPr>
        <w:t xml:space="preserve">below </w:t>
      </w:r>
      <w:r w:rsidR="009E3810">
        <w:rPr>
          <w:rFonts w:ascii="Times New Roman" w:hAnsi="Times New Roman"/>
          <w:sz w:val="24"/>
          <w:szCs w:val="24"/>
        </w:rPr>
        <w:t xml:space="preserve">in the response to Question No. 2, Oncor does not believe that owning or operating an EV charging station </w:t>
      </w:r>
      <w:r w:rsidR="00F72758">
        <w:rPr>
          <w:rFonts w:ascii="Times New Roman" w:hAnsi="Times New Roman"/>
          <w:sz w:val="24"/>
          <w:szCs w:val="24"/>
        </w:rPr>
        <w:t xml:space="preserve">should </w:t>
      </w:r>
      <w:r w:rsidR="009E3810">
        <w:rPr>
          <w:rFonts w:ascii="Times New Roman" w:hAnsi="Times New Roman"/>
          <w:sz w:val="24"/>
          <w:szCs w:val="24"/>
        </w:rPr>
        <w:t>constitute the resale of electricity</w:t>
      </w:r>
      <w:r w:rsidR="00F72758">
        <w:rPr>
          <w:rFonts w:ascii="Times New Roman" w:hAnsi="Times New Roman"/>
          <w:sz w:val="24"/>
          <w:szCs w:val="24"/>
        </w:rPr>
        <w:t xml:space="preserve">, and Oncor supports a </w:t>
      </w:r>
      <w:r w:rsidR="0058430B">
        <w:rPr>
          <w:rFonts w:ascii="Times New Roman" w:hAnsi="Times New Roman"/>
          <w:sz w:val="24"/>
          <w:szCs w:val="24"/>
        </w:rPr>
        <w:t xml:space="preserve">Commission rule and/or a </w:t>
      </w:r>
      <w:r w:rsidR="00F72758">
        <w:rPr>
          <w:rFonts w:ascii="Times New Roman" w:hAnsi="Times New Roman"/>
          <w:sz w:val="24"/>
          <w:szCs w:val="24"/>
        </w:rPr>
        <w:t xml:space="preserve">clarifying amendment to the Public Utility Regulatory Act (PURA) </w:t>
      </w:r>
      <w:r w:rsidR="00277291">
        <w:rPr>
          <w:rFonts w:ascii="Times New Roman" w:hAnsi="Times New Roman"/>
          <w:sz w:val="24"/>
          <w:szCs w:val="24"/>
        </w:rPr>
        <w:t xml:space="preserve">if needed </w:t>
      </w:r>
      <w:r w:rsidR="00F72758">
        <w:rPr>
          <w:rFonts w:ascii="Times New Roman" w:hAnsi="Times New Roman"/>
          <w:sz w:val="24"/>
          <w:szCs w:val="24"/>
        </w:rPr>
        <w:t xml:space="preserve">to resolve any ambiguity on this point.  The state of Texas may choose to require certain minimum standards </w:t>
      </w:r>
      <w:r>
        <w:rPr>
          <w:rFonts w:ascii="Times New Roman" w:hAnsi="Times New Roman"/>
          <w:sz w:val="24"/>
          <w:szCs w:val="24"/>
        </w:rPr>
        <w:t xml:space="preserve">for </w:t>
      </w:r>
      <w:r w:rsidR="00F72758">
        <w:rPr>
          <w:rFonts w:ascii="Times New Roman" w:hAnsi="Times New Roman"/>
          <w:sz w:val="24"/>
          <w:szCs w:val="24"/>
        </w:rPr>
        <w:t>public charging facilities, but Oncor does not believe ownership should be otherwise limited to, for example, retail electric providers</w:t>
      </w:r>
      <w:r>
        <w:rPr>
          <w:rFonts w:ascii="Times New Roman" w:hAnsi="Times New Roman"/>
          <w:sz w:val="24"/>
          <w:szCs w:val="24"/>
        </w:rPr>
        <w:t>, electric cooperatives, municipally-owned utilities,</w:t>
      </w:r>
      <w:r w:rsidR="00F72758">
        <w:rPr>
          <w:rFonts w:ascii="Times New Roman" w:hAnsi="Times New Roman"/>
          <w:sz w:val="24"/>
          <w:szCs w:val="24"/>
        </w:rPr>
        <w:t xml:space="preserve"> or retail electric utilities</w:t>
      </w:r>
      <w:r w:rsidR="00781D79">
        <w:rPr>
          <w:rFonts w:ascii="Times New Roman" w:hAnsi="Times New Roman"/>
          <w:sz w:val="24"/>
          <w:szCs w:val="24"/>
        </w:rPr>
        <w:t>, and t</w:t>
      </w:r>
      <w:r w:rsidR="004F52F0">
        <w:rPr>
          <w:rFonts w:ascii="Times New Roman" w:hAnsi="Times New Roman"/>
          <w:sz w:val="24"/>
          <w:szCs w:val="24"/>
        </w:rPr>
        <w:t>here are public EV charging facilities currently available that are owned and operated by entities other than those listed above.</w:t>
      </w:r>
    </w:p>
    <w:p w:rsidR="00E7579F" w:rsidP="00C27B37" w14:paraId="2758B5F2" w14:textId="62C9BE83">
      <w:pPr>
        <w:spacing w:after="0" w:line="360" w:lineRule="auto"/>
        <w:ind w:firstLine="720"/>
        <w:jc w:val="both"/>
        <w:rPr>
          <w:rFonts w:ascii="Times New Roman" w:hAnsi="Times New Roman"/>
          <w:color w:val="auto"/>
          <w:sz w:val="24"/>
          <w:szCs w:val="24"/>
          <w:shd w:val="clear" w:color="auto" w:fill="auto"/>
        </w:rPr>
      </w:pPr>
      <w:r>
        <w:rPr>
          <w:rFonts w:ascii="Times New Roman" w:hAnsi="Times New Roman"/>
          <w:sz w:val="24"/>
          <w:szCs w:val="24"/>
        </w:rPr>
        <w:t xml:space="preserve">Oncor recognizes that </w:t>
      </w:r>
      <w:r w:rsidR="004F52F0">
        <w:rPr>
          <w:rFonts w:ascii="Times New Roman" w:hAnsi="Times New Roman"/>
          <w:sz w:val="24"/>
          <w:szCs w:val="24"/>
        </w:rPr>
        <w:t xml:space="preserve">current </w:t>
      </w:r>
      <w:r>
        <w:rPr>
          <w:rFonts w:ascii="Times New Roman" w:hAnsi="Times New Roman"/>
          <w:sz w:val="24"/>
          <w:szCs w:val="24"/>
        </w:rPr>
        <w:t>public policy favors competitive solutions to the issue of public charging station</w:t>
      </w:r>
      <w:r w:rsidR="00781D79">
        <w:rPr>
          <w:rFonts w:ascii="Times New Roman" w:hAnsi="Times New Roman"/>
          <w:sz w:val="24"/>
          <w:szCs w:val="24"/>
        </w:rPr>
        <w:t>s</w:t>
      </w:r>
      <w:r>
        <w:rPr>
          <w:rFonts w:ascii="Times New Roman" w:hAnsi="Times New Roman"/>
          <w:sz w:val="24"/>
          <w:szCs w:val="24"/>
        </w:rPr>
        <w:t xml:space="preserve"> and that the Commission rules currently limit a </w:t>
      </w:r>
      <w:r w:rsidR="008D17DF">
        <w:rPr>
          <w:rFonts w:ascii="Times New Roman" w:hAnsi="Times New Roman"/>
          <w:sz w:val="24"/>
          <w:szCs w:val="24"/>
        </w:rPr>
        <w:t>transmission and distribution utility (</w:t>
      </w:r>
      <w:r>
        <w:rPr>
          <w:rFonts w:ascii="Times New Roman" w:hAnsi="Times New Roman"/>
          <w:sz w:val="24"/>
          <w:szCs w:val="24"/>
        </w:rPr>
        <w:t>TDU</w:t>
      </w:r>
      <w:r w:rsidR="008D17DF">
        <w:rPr>
          <w:rFonts w:ascii="Times New Roman" w:hAnsi="Times New Roman"/>
          <w:sz w:val="24"/>
          <w:szCs w:val="24"/>
        </w:rPr>
        <w:t>)</w:t>
      </w:r>
      <w:r>
        <w:rPr>
          <w:rFonts w:ascii="Times New Roman" w:hAnsi="Times New Roman"/>
          <w:sz w:val="24"/>
          <w:szCs w:val="24"/>
        </w:rPr>
        <w:t xml:space="preserve"> in the Texas competitive electric market from offering competitive energy services.  16 TAC </w:t>
      </w:r>
      <w:r w:rsidR="00781D79">
        <w:rPr>
          <w:rFonts w:ascii="Times New Roman" w:hAnsi="Times New Roman"/>
          <w:sz w:val="24"/>
          <w:szCs w:val="24"/>
        </w:rPr>
        <w:t>§§</w:t>
      </w:r>
      <w:r w:rsidR="008D17DF">
        <w:rPr>
          <w:rFonts w:ascii="Times New Roman" w:hAnsi="Times New Roman"/>
          <w:sz w:val="24"/>
          <w:szCs w:val="24"/>
        </w:rPr>
        <w:t>25.341(3) and 25.343.</w:t>
      </w:r>
      <w:r w:rsidR="008B0BE0">
        <w:rPr>
          <w:rFonts w:ascii="Times New Roman" w:hAnsi="Times New Roman"/>
          <w:sz w:val="24"/>
          <w:szCs w:val="24"/>
        </w:rPr>
        <w:t xml:space="preserve">  </w:t>
      </w:r>
      <w:r w:rsidR="009E3810">
        <w:rPr>
          <w:rFonts w:ascii="Times New Roman" w:hAnsi="Times New Roman"/>
          <w:sz w:val="24"/>
          <w:szCs w:val="24"/>
        </w:rPr>
        <w:t>EV ownership is still a small market segment in Texas, although one that will likely grow rapidly.  EV manufacturers</w:t>
      </w:r>
      <w:r w:rsidR="008D17DF">
        <w:rPr>
          <w:rFonts w:ascii="Times New Roman" w:hAnsi="Times New Roman"/>
          <w:sz w:val="24"/>
          <w:szCs w:val="24"/>
        </w:rPr>
        <w:t xml:space="preserve">, </w:t>
      </w:r>
      <w:r w:rsidR="004F52F0">
        <w:rPr>
          <w:rFonts w:ascii="Times New Roman" w:hAnsi="Times New Roman"/>
          <w:sz w:val="24"/>
          <w:szCs w:val="24"/>
        </w:rPr>
        <w:t xml:space="preserve">EV </w:t>
      </w:r>
      <w:r w:rsidR="008D17DF">
        <w:rPr>
          <w:rFonts w:ascii="Times New Roman" w:hAnsi="Times New Roman"/>
          <w:sz w:val="24"/>
          <w:szCs w:val="24"/>
        </w:rPr>
        <w:t>sellers,</w:t>
      </w:r>
      <w:r w:rsidR="009E3810">
        <w:rPr>
          <w:rFonts w:ascii="Times New Roman" w:hAnsi="Times New Roman"/>
          <w:sz w:val="24"/>
          <w:szCs w:val="24"/>
        </w:rPr>
        <w:t xml:space="preserve"> and third</w:t>
      </w:r>
      <w:r w:rsidR="00AD6444">
        <w:rPr>
          <w:rFonts w:ascii="Times New Roman" w:hAnsi="Times New Roman"/>
          <w:sz w:val="24"/>
          <w:szCs w:val="24"/>
        </w:rPr>
        <w:t>-</w:t>
      </w:r>
      <w:r w:rsidR="009E3810">
        <w:rPr>
          <w:rFonts w:ascii="Times New Roman" w:hAnsi="Times New Roman"/>
          <w:sz w:val="24"/>
          <w:szCs w:val="24"/>
        </w:rPr>
        <w:t xml:space="preserve">party entities are providing charging stations.  </w:t>
      </w:r>
      <w:r w:rsidR="008D17DF">
        <w:rPr>
          <w:rFonts w:ascii="Times New Roman" w:hAnsi="Times New Roman"/>
          <w:sz w:val="24"/>
          <w:szCs w:val="24"/>
        </w:rPr>
        <w:t xml:space="preserve">If public charging stations are classified as a competitive energy service, </w:t>
      </w:r>
      <w:r w:rsidR="008B0BE0">
        <w:rPr>
          <w:rFonts w:ascii="Times New Roman" w:hAnsi="Times New Roman"/>
          <w:sz w:val="24"/>
          <w:szCs w:val="24"/>
        </w:rPr>
        <w:t xml:space="preserve">TDUs </w:t>
      </w:r>
      <w:r w:rsidR="009E3810">
        <w:rPr>
          <w:rFonts w:ascii="Times New Roman" w:hAnsi="Times New Roman"/>
          <w:sz w:val="24"/>
          <w:szCs w:val="24"/>
        </w:rPr>
        <w:t>should</w:t>
      </w:r>
      <w:r w:rsidR="008B0BE0">
        <w:rPr>
          <w:rFonts w:ascii="Times New Roman" w:hAnsi="Times New Roman"/>
          <w:sz w:val="24"/>
          <w:szCs w:val="24"/>
        </w:rPr>
        <w:t xml:space="preserve"> </w:t>
      </w:r>
      <w:r w:rsidR="008D17DF">
        <w:rPr>
          <w:rFonts w:ascii="Times New Roman" w:hAnsi="Times New Roman"/>
          <w:sz w:val="24"/>
          <w:szCs w:val="24"/>
        </w:rPr>
        <w:t>continue to own</w:t>
      </w:r>
      <w:r w:rsidR="009E3810">
        <w:rPr>
          <w:rFonts w:ascii="Times New Roman" w:hAnsi="Times New Roman"/>
          <w:sz w:val="24"/>
          <w:szCs w:val="24"/>
        </w:rPr>
        <w:t xml:space="preserve"> </w:t>
      </w:r>
      <w:r w:rsidR="008B0BE0">
        <w:rPr>
          <w:rFonts w:ascii="Times New Roman" w:hAnsi="Times New Roman"/>
          <w:sz w:val="24"/>
          <w:szCs w:val="24"/>
        </w:rPr>
        <w:t xml:space="preserve">the transmission and distribution infrastructure serving those charging stations, as they do now.  In particular, TDUs would </w:t>
      </w:r>
      <w:r w:rsidR="0025075D">
        <w:rPr>
          <w:rFonts w:ascii="Times New Roman" w:hAnsi="Times New Roman"/>
          <w:sz w:val="24"/>
          <w:szCs w:val="24"/>
        </w:rPr>
        <w:t xml:space="preserve">continue to </w:t>
      </w:r>
      <w:r w:rsidR="008B0BE0">
        <w:rPr>
          <w:rFonts w:ascii="Times New Roman" w:hAnsi="Times New Roman"/>
          <w:sz w:val="24"/>
          <w:szCs w:val="24"/>
        </w:rPr>
        <w:t>own the infrastructure up to</w:t>
      </w:r>
      <w:r w:rsidR="004F52F0">
        <w:rPr>
          <w:rFonts w:ascii="Times New Roman" w:hAnsi="Times New Roman"/>
          <w:sz w:val="24"/>
          <w:szCs w:val="24"/>
        </w:rPr>
        <w:t xml:space="preserve"> and including</w:t>
      </w:r>
      <w:r w:rsidR="008B0BE0">
        <w:rPr>
          <w:rFonts w:ascii="Times New Roman" w:hAnsi="Times New Roman"/>
          <w:sz w:val="24"/>
          <w:szCs w:val="24"/>
        </w:rPr>
        <w:t xml:space="preserve"> the meter or </w:t>
      </w:r>
      <w:r w:rsidR="008B0BE0">
        <w:rPr>
          <w:rFonts w:ascii="Times New Roman" w:hAnsi="Times New Roman"/>
          <w:sz w:val="24"/>
          <w:szCs w:val="24"/>
        </w:rPr>
        <w:t>transocket</w:t>
      </w:r>
      <w:r w:rsidR="008B0BE0">
        <w:rPr>
          <w:rFonts w:ascii="Times New Roman" w:hAnsi="Times New Roman"/>
          <w:sz w:val="24"/>
          <w:szCs w:val="24"/>
        </w:rPr>
        <w:t xml:space="preserve">, while the charging station owner would own the </w:t>
      </w:r>
      <w:r w:rsidR="00B75CD8">
        <w:rPr>
          <w:rFonts w:ascii="Times New Roman" w:hAnsi="Times New Roman"/>
          <w:sz w:val="24"/>
          <w:szCs w:val="24"/>
        </w:rPr>
        <w:t xml:space="preserve">electrical </w:t>
      </w:r>
      <w:r w:rsidR="008B0BE0">
        <w:rPr>
          <w:rFonts w:ascii="Times New Roman" w:hAnsi="Times New Roman"/>
          <w:sz w:val="24"/>
          <w:szCs w:val="24"/>
        </w:rPr>
        <w:t xml:space="preserve">facilities from that point </w:t>
      </w:r>
      <w:r w:rsidR="00B75CD8">
        <w:rPr>
          <w:rFonts w:ascii="Times New Roman" w:hAnsi="Times New Roman"/>
          <w:sz w:val="24"/>
          <w:szCs w:val="24"/>
        </w:rPr>
        <w:t>up to and including</w:t>
      </w:r>
      <w:r w:rsidR="008B0BE0">
        <w:rPr>
          <w:rFonts w:ascii="Times New Roman" w:hAnsi="Times New Roman"/>
          <w:sz w:val="24"/>
          <w:szCs w:val="24"/>
        </w:rPr>
        <w:t xml:space="preserve"> the actual charger itself.</w:t>
      </w:r>
      <w:r w:rsidR="008D17DF">
        <w:rPr>
          <w:rFonts w:ascii="Times New Roman" w:hAnsi="Times New Roman"/>
          <w:sz w:val="24"/>
          <w:szCs w:val="24"/>
        </w:rPr>
        <w:t xml:space="preserve">  Oncor would bill the public charging station at the appropriate non-residential tariffed rate.</w:t>
      </w:r>
      <w:r w:rsidR="00277291">
        <w:rPr>
          <w:rFonts w:ascii="Times New Roman" w:hAnsi="Times New Roman"/>
          <w:sz w:val="24"/>
          <w:szCs w:val="24"/>
        </w:rPr>
        <w:t xml:space="preserve">  In the event competitive energy services do not adequately provide public charging stations, a TDU may petition the Commission to provide the service under specific circumstances.  16 TAC </w:t>
      </w:r>
      <w:r w:rsidR="00781D79">
        <w:rPr>
          <w:rFonts w:ascii="Times New Roman" w:hAnsi="Times New Roman"/>
          <w:sz w:val="24"/>
          <w:szCs w:val="24"/>
        </w:rPr>
        <w:t>§</w:t>
      </w:r>
      <w:r w:rsidR="00277291">
        <w:rPr>
          <w:rFonts w:ascii="Times New Roman" w:hAnsi="Times New Roman"/>
          <w:sz w:val="24"/>
          <w:szCs w:val="24"/>
        </w:rPr>
        <w:t>25.343(d).</w:t>
      </w:r>
      <w:r w:rsidR="008B0BE0">
        <w:rPr>
          <w:rFonts w:ascii="Times New Roman" w:hAnsi="Times New Roman"/>
          <w:sz w:val="24"/>
          <w:szCs w:val="24"/>
        </w:rPr>
        <w:t xml:space="preserve">  </w:t>
      </w:r>
    </w:p>
    <w:p w:rsidR="008B0BE0" w:rsidP="00E7579F" w14:paraId="47D08347" w14:textId="5E93096F">
      <w:pPr>
        <w:spacing w:after="0" w:line="360" w:lineRule="auto"/>
        <w:jc w:val="both"/>
        <w:rPr>
          <w:rFonts w:ascii="Times New Roman" w:hAnsi="Times New Roman"/>
          <w:color w:val="auto"/>
          <w:sz w:val="24"/>
          <w:szCs w:val="24"/>
          <w:shd w:val="clear" w:color="auto" w:fill="auto"/>
        </w:rPr>
      </w:pPr>
      <w:r>
        <w:rPr>
          <w:rFonts w:ascii="Times New Roman" w:hAnsi="Times New Roman"/>
          <w:sz w:val="24"/>
          <w:szCs w:val="24"/>
        </w:rPr>
        <w:tab/>
        <w:t xml:space="preserve">Metering </w:t>
      </w:r>
      <w:r w:rsidR="00F47E04">
        <w:rPr>
          <w:rFonts w:ascii="Times New Roman" w:hAnsi="Times New Roman"/>
          <w:sz w:val="24"/>
          <w:szCs w:val="24"/>
        </w:rPr>
        <w:t xml:space="preserve">for EV charging stations </w:t>
      </w:r>
      <w:r>
        <w:rPr>
          <w:rFonts w:ascii="Times New Roman" w:hAnsi="Times New Roman"/>
          <w:sz w:val="24"/>
          <w:szCs w:val="24"/>
        </w:rPr>
        <w:t xml:space="preserve">can be accomplished in one of two </w:t>
      </w:r>
      <w:r w:rsidR="00277291">
        <w:rPr>
          <w:rFonts w:ascii="Times New Roman" w:hAnsi="Times New Roman"/>
          <w:sz w:val="24"/>
          <w:szCs w:val="24"/>
        </w:rPr>
        <w:t>ways:</w:t>
      </w:r>
      <w:r>
        <w:rPr>
          <w:rFonts w:ascii="Times New Roman" w:hAnsi="Times New Roman"/>
          <w:sz w:val="24"/>
          <w:szCs w:val="24"/>
        </w:rPr>
        <w:t xml:space="preserve">  </w:t>
      </w:r>
      <w:r w:rsidR="0058430B">
        <w:rPr>
          <w:rFonts w:ascii="Times New Roman" w:hAnsi="Times New Roman"/>
          <w:sz w:val="24"/>
          <w:szCs w:val="24"/>
        </w:rPr>
        <w:t>(1)</w:t>
      </w:r>
      <w:r w:rsidR="00277291">
        <w:rPr>
          <w:rFonts w:ascii="Times New Roman" w:hAnsi="Times New Roman"/>
          <w:sz w:val="24"/>
          <w:szCs w:val="24"/>
        </w:rPr>
        <w:t xml:space="preserve"> t</w:t>
      </w:r>
      <w:r>
        <w:rPr>
          <w:rFonts w:ascii="Times New Roman" w:hAnsi="Times New Roman"/>
          <w:sz w:val="24"/>
          <w:szCs w:val="24"/>
        </w:rPr>
        <w:t xml:space="preserve">he entire load </w:t>
      </w:r>
      <w:r w:rsidR="0058430B">
        <w:rPr>
          <w:rFonts w:ascii="Times New Roman" w:hAnsi="Times New Roman"/>
          <w:sz w:val="24"/>
          <w:szCs w:val="24"/>
        </w:rPr>
        <w:t>at a premise (buildings, lighting, chargers)</w:t>
      </w:r>
      <w:r>
        <w:rPr>
          <w:rFonts w:ascii="Times New Roman" w:hAnsi="Times New Roman"/>
          <w:sz w:val="24"/>
          <w:szCs w:val="24"/>
        </w:rPr>
        <w:t xml:space="preserve"> could be metered through one meter and be placed on the appropriate </w:t>
      </w:r>
      <w:r w:rsidR="0058430B">
        <w:rPr>
          <w:rFonts w:ascii="Times New Roman" w:hAnsi="Times New Roman"/>
          <w:sz w:val="24"/>
          <w:szCs w:val="24"/>
        </w:rPr>
        <w:t>non-residential</w:t>
      </w:r>
      <w:r w:rsidR="00223B58">
        <w:rPr>
          <w:rFonts w:ascii="Times New Roman" w:hAnsi="Times New Roman"/>
          <w:sz w:val="24"/>
          <w:szCs w:val="24"/>
        </w:rPr>
        <w:t xml:space="preserve"> </w:t>
      </w:r>
      <w:r>
        <w:rPr>
          <w:rFonts w:ascii="Times New Roman" w:hAnsi="Times New Roman"/>
          <w:sz w:val="24"/>
          <w:szCs w:val="24"/>
        </w:rPr>
        <w:t>rate</w:t>
      </w:r>
      <w:r w:rsidR="00277291">
        <w:rPr>
          <w:rFonts w:ascii="Times New Roman" w:hAnsi="Times New Roman"/>
          <w:sz w:val="24"/>
          <w:szCs w:val="24"/>
        </w:rPr>
        <w:t>; or</w:t>
      </w:r>
      <w:r>
        <w:rPr>
          <w:rFonts w:ascii="Times New Roman" w:hAnsi="Times New Roman"/>
          <w:sz w:val="24"/>
          <w:szCs w:val="24"/>
        </w:rPr>
        <w:t xml:space="preserve"> </w:t>
      </w:r>
      <w:r w:rsidR="0058430B">
        <w:rPr>
          <w:rFonts w:ascii="Times New Roman" w:hAnsi="Times New Roman"/>
          <w:sz w:val="24"/>
          <w:szCs w:val="24"/>
        </w:rPr>
        <w:t>(2)</w:t>
      </w:r>
      <w:r w:rsidR="00277291">
        <w:rPr>
          <w:rFonts w:ascii="Times New Roman" w:hAnsi="Times New Roman"/>
          <w:sz w:val="24"/>
          <w:szCs w:val="24"/>
        </w:rPr>
        <w:t xml:space="preserve"> t</w:t>
      </w:r>
      <w:r>
        <w:rPr>
          <w:rFonts w:ascii="Times New Roman" w:hAnsi="Times New Roman"/>
          <w:sz w:val="24"/>
          <w:szCs w:val="24"/>
        </w:rPr>
        <w:t>he chargers themselve</w:t>
      </w:r>
      <w:r w:rsidR="00277291">
        <w:rPr>
          <w:rFonts w:ascii="Times New Roman" w:hAnsi="Times New Roman"/>
          <w:sz w:val="24"/>
          <w:szCs w:val="24"/>
        </w:rPr>
        <w:t>s</w:t>
      </w:r>
      <w:r>
        <w:rPr>
          <w:rFonts w:ascii="Times New Roman" w:hAnsi="Times New Roman"/>
          <w:sz w:val="24"/>
          <w:szCs w:val="24"/>
        </w:rPr>
        <w:t xml:space="preserve"> could be on one</w:t>
      </w:r>
      <w:r w:rsidR="0058430B">
        <w:rPr>
          <w:rFonts w:ascii="Times New Roman" w:hAnsi="Times New Roman"/>
          <w:sz w:val="24"/>
          <w:szCs w:val="24"/>
        </w:rPr>
        <w:t xml:space="preserve"> or more separate</w:t>
      </w:r>
      <w:r>
        <w:rPr>
          <w:rFonts w:ascii="Times New Roman" w:hAnsi="Times New Roman"/>
          <w:sz w:val="24"/>
          <w:szCs w:val="24"/>
        </w:rPr>
        <w:t xml:space="preserve"> meter</w:t>
      </w:r>
      <w:r w:rsidR="0058430B">
        <w:rPr>
          <w:rFonts w:ascii="Times New Roman" w:hAnsi="Times New Roman"/>
          <w:sz w:val="24"/>
          <w:szCs w:val="24"/>
        </w:rPr>
        <w:t>s</w:t>
      </w:r>
      <w:r>
        <w:rPr>
          <w:rFonts w:ascii="Times New Roman" w:hAnsi="Times New Roman"/>
          <w:sz w:val="24"/>
          <w:szCs w:val="24"/>
        </w:rPr>
        <w:t xml:space="preserve">, </w:t>
      </w:r>
      <w:r w:rsidR="00277291">
        <w:rPr>
          <w:rFonts w:ascii="Times New Roman" w:hAnsi="Times New Roman"/>
          <w:sz w:val="24"/>
          <w:szCs w:val="24"/>
        </w:rPr>
        <w:t>while</w:t>
      </w:r>
      <w:r>
        <w:rPr>
          <w:rFonts w:ascii="Times New Roman" w:hAnsi="Times New Roman"/>
          <w:sz w:val="24"/>
          <w:szCs w:val="24"/>
        </w:rPr>
        <w:t xml:space="preserve"> </w:t>
      </w:r>
      <w:r w:rsidR="0058430B">
        <w:rPr>
          <w:rFonts w:ascii="Times New Roman" w:hAnsi="Times New Roman"/>
          <w:sz w:val="24"/>
          <w:szCs w:val="24"/>
        </w:rPr>
        <w:t xml:space="preserve">the remaining common </w:t>
      </w:r>
      <w:r>
        <w:rPr>
          <w:rFonts w:ascii="Times New Roman" w:hAnsi="Times New Roman"/>
          <w:sz w:val="24"/>
          <w:szCs w:val="24"/>
        </w:rPr>
        <w:t xml:space="preserve">station facilities </w:t>
      </w:r>
      <w:r w:rsidR="0058430B">
        <w:rPr>
          <w:rFonts w:ascii="Times New Roman" w:hAnsi="Times New Roman"/>
          <w:sz w:val="24"/>
          <w:szCs w:val="24"/>
        </w:rPr>
        <w:t xml:space="preserve">could be </w:t>
      </w:r>
      <w:r w:rsidR="00223B58">
        <w:rPr>
          <w:rFonts w:ascii="Times New Roman" w:hAnsi="Times New Roman"/>
          <w:sz w:val="24"/>
          <w:szCs w:val="24"/>
        </w:rPr>
        <w:t xml:space="preserve">served through </w:t>
      </w:r>
      <w:r>
        <w:rPr>
          <w:rFonts w:ascii="Times New Roman" w:hAnsi="Times New Roman"/>
          <w:sz w:val="24"/>
          <w:szCs w:val="24"/>
        </w:rPr>
        <w:t>a second meter</w:t>
      </w:r>
      <w:r w:rsidR="00277291">
        <w:rPr>
          <w:rFonts w:ascii="Times New Roman" w:hAnsi="Times New Roman"/>
          <w:sz w:val="24"/>
          <w:szCs w:val="24"/>
        </w:rPr>
        <w:t>, with each meter billed on the appropriate non-residential rate</w:t>
      </w:r>
      <w:r>
        <w:rPr>
          <w:rFonts w:ascii="Times New Roman" w:hAnsi="Times New Roman"/>
          <w:sz w:val="24"/>
          <w:szCs w:val="24"/>
        </w:rPr>
        <w:t>.  This would allow</w:t>
      </w:r>
      <w:r w:rsidR="00223B58">
        <w:rPr>
          <w:rFonts w:ascii="Times New Roman" w:hAnsi="Times New Roman"/>
          <w:sz w:val="24"/>
          <w:szCs w:val="24"/>
        </w:rPr>
        <w:t>, should the Commission desire</w:t>
      </w:r>
      <w:r w:rsidR="0058430B">
        <w:rPr>
          <w:rFonts w:ascii="Times New Roman" w:hAnsi="Times New Roman"/>
          <w:sz w:val="24"/>
          <w:szCs w:val="24"/>
        </w:rPr>
        <w:t xml:space="preserve"> for policy reasons</w:t>
      </w:r>
      <w:r w:rsidR="00223B58">
        <w:rPr>
          <w:rFonts w:ascii="Times New Roman" w:hAnsi="Times New Roman"/>
          <w:sz w:val="24"/>
          <w:szCs w:val="24"/>
        </w:rPr>
        <w:t>,</w:t>
      </w:r>
      <w:r>
        <w:rPr>
          <w:rFonts w:ascii="Times New Roman" w:hAnsi="Times New Roman"/>
          <w:sz w:val="24"/>
          <w:szCs w:val="24"/>
        </w:rPr>
        <w:t xml:space="preserve"> for the </w:t>
      </w:r>
      <w:r w:rsidR="00223B58">
        <w:rPr>
          <w:rFonts w:ascii="Times New Roman" w:hAnsi="Times New Roman"/>
          <w:sz w:val="24"/>
          <w:szCs w:val="24"/>
        </w:rPr>
        <w:t>establishment of a</w:t>
      </w:r>
      <w:r w:rsidR="0058430B">
        <w:rPr>
          <w:rFonts w:ascii="Times New Roman" w:hAnsi="Times New Roman"/>
          <w:sz w:val="24"/>
          <w:szCs w:val="24"/>
        </w:rPr>
        <w:t>n EV public charging station</w:t>
      </w:r>
      <w:r w:rsidR="00223B58">
        <w:rPr>
          <w:rFonts w:ascii="Times New Roman" w:hAnsi="Times New Roman"/>
          <w:sz w:val="24"/>
          <w:szCs w:val="24"/>
        </w:rPr>
        <w:t xml:space="preserve"> rate class, </w:t>
      </w:r>
      <w:r w:rsidR="0058430B">
        <w:rPr>
          <w:rFonts w:ascii="Times New Roman" w:hAnsi="Times New Roman"/>
          <w:sz w:val="24"/>
          <w:szCs w:val="24"/>
        </w:rPr>
        <w:t>with rates that differ from other non-residential rates.</w:t>
      </w:r>
    </w:p>
    <w:p w:rsidR="00AE132F" w:rsidP="00E7579F" w14:paraId="263E7992" w14:textId="0A1DCFAF">
      <w:pPr>
        <w:spacing w:after="0" w:line="360" w:lineRule="auto"/>
        <w:jc w:val="both"/>
        <w:rPr>
          <w:rFonts w:ascii="Times New Roman" w:hAnsi="Times New Roman"/>
          <w:color w:val="auto"/>
          <w:sz w:val="24"/>
          <w:szCs w:val="24"/>
          <w:shd w:val="clear" w:color="auto" w:fill="auto"/>
        </w:rPr>
      </w:pPr>
      <w:r>
        <w:rPr>
          <w:rFonts w:ascii="Times New Roman" w:hAnsi="Times New Roman"/>
          <w:sz w:val="24"/>
          <w:szCs w:val="24"/>
        </w:rPr>
        <w:tab/>
        <w:t>Oncor is not responding to the second question, concerning non-competitive areas, at this time.</w:t>
      </w:r>
    </w:p>
    <w:p w:rsidR="009E3810" w:rsidRPr="00D2126C" w:rsidP="00E7579F" w14:paraId="12580543" w14:textId="057E2F11">
      <w:pPr>
        <w:spacing w:after="0" w:line="360" w:lineRule="auto"/>
        <w:jc w:val="both"/>
        <w:rPr>
          <w:rFonts w:ascii="Times New Roman" w:hAnsi="Times New Roman"/>
          <w:color w:val="auto"/>
          <w:sz w:val="24"/>
          <w:szCs w:val="24"/>
          <w:shd w:val="clear" w:color="auto" w:fill="auto"/>
        </w:rPr>
      </w:pPr>
      <w:r>
        <w:rPr>
          <w:rFonts w:ascii="Times New Roman" w:hAnsi="Times New Roman"/>
          <w:sz w:val="24"/>
          <w:szCs w:val="24"/>
        </w:rPr>
        <w:tab/>
      </w:r>
    </w:p>
    <w:p w:rsidR="003139FA" w:rsidRPr="009E3810" w:rsidP="00772AE8" w14:paraId="3015F128" w14:textId="2CA88509">
      <w:pPr>
        <w:autoSpaceDE w:val="0"/>
        <w:autoSpaceDN w:val="0"/>
        <w:adjustRightInd w:val="0"/>
        <w:spacing w:after="120" w:line="240" w:lineRule="auto"/>
        <w:jc w:val="both"/>
        <w:rPr>
          <w:rFonts w:ascii="Times New Roman" w:hAnsi="Times New Roman"/>
          <w:b/>
          <w:color w:val="auto"/>
          <w:sz w:val="24"/>
          <w:szCs w:val="24"/>
          <w:shd w:val="clear" w:color="auto" w:fill="auto"/>
        </w:rPr>
      </w:pPr>
      <w:r w:rsidRPr="009E3810">
        <w:rPr>
          <w:rFonts w:ascii="Times New Roman" w:hAnsi="Times New Roman"/>
          <w:b/>
          <w:sz w:val="24"/>
          <w:szCs w:val="24"/>
        </w:rPr>
        <w:t xml:space="preserve">2.  </w:t>
      </w:r>
      <w:r w:rsidRPr="009E3810" w:rsidR="009E3810">
        <w:rPr>
          <w:rFonts w:ascii="Times New Roman" w:hAnsi="Times New Roman"/>
          <w:b/>
          <w:sz w:val="24"/>
          <w:szCs w:val="24"/>
        </w:rPr>
        <w:t>Is the operation of an electric vehicle charging station a retail sale of electricity?</w:t>
      </w:r>
    </w:p>
    <w:p w:rsidR="00772AE8" w:rsidRPr="00772AE8" w:rsidP="00772AE8" w14:paraId="1AD84ECC" w14:textId="75BA80E2">
      <w:pPr>
        <w:spacing w:after="0" w:line="360" w:lineRule="auto"/>
        <w:ind w:firstLine="720"/>
        <w:jc w:val="both"/>
        <w:rPr>
          <w:rFonts w:ascii="Times New Roman" w:hAnsi="Times New Roman"/>
          <w:b/>
          <w:color w:val="auto"/>
          <w:sz w:val="24"/>
          <w:szCs w:val="24"/>
          <w:shd w:val="clear" w:color="auto" w:fill="auto"/>
        </w:rPr>
      </w:pPr>
      <w:r>
        <w:rPr>
          <w:rFonts w:ascii="Times New Roman" w:hAnsi="Times New Roman"/>
          <w:sz w:val="24"/>
          <w:szCs w:val="24"/>
        </w:rPr>
        <w:t>No</w:t>
      </w:r>
      <w:r w:rsidR="00AF1638">
        <w:rPr>
          <w:rFonts w:ascii="Times New Roman" w:hAnsi="Times New Roman"/>
          <w:sz w:val="24"/>
          <w:szCs w:val="24"/>
        </w:rPr>
        <w:t>,</w:t>
      </w:r>
      <w:r>
        <w:rPr>
          <w:rFonts w:ascii="Times New Roman" w:hAnsi="Times New Roman"/>
          <w:sz w:val="24"/>
          <w:szCs w:val="24"/>
        </w:rPr>
        <w:t xml:space="preserve"> the operation of an EV charging station is not the retail sale of electricity, but is </w:t>
      </w:r>
      <w:r w:rsidR="00277291">
        <w:rPr>
          <w:rFonts w:ascii="Times New Roman" w:hAnsi="Times New Roman"/>
          <w:sz w:val="24"/>
          <w:szCs w:val="24"/>
        </w:rPr>
        <w:t xml:space="preserve">more properly characterized as </w:t>
      </w:r>
      <w:r>
        <w:rPr>
          <w:rFonts w:ascii="Times New Roman" w:hAnsi="Times New Roman"/>
          <w:sz w:val="24"/>
          <w:szCs w:val="24"/>
        </w:rPr>
        <w:t xml:space="preserve">a service provided to the EV owner.  This holds no matter how the service </w:t>
      </w:r>
      <w:r w:rsidR="00B75CD8">
        <w:rPr>
          <w:rFonts w:ascii="Times New Roman" w:hAnsi="Times New Roman"/>
          <w:sz w:val="24"/>
          <w:szCs w:val="24"/>
        </w:rPr>
        <w:t xml:space="preserve">provided </w:t>
      </w:r>
      <w:r>
        <w:rPr>
          <w:rFonts w:ascii="Times New Roman" w:hAnsi="Times New Roman"/>
          <w:sz w:val="24"/>
          <w:szCs w:val="24"/>
        </w:rPr>
        <w:t>is measured: minutes of charging time, kWh charged, flat rate for unlimited charging for a month (or some other period of time), etc.  The retail sale of electricity takes place when the retail electric provider</w:t>
      </w:r>
      <w:r w:rsidR="004F52F0">
        <w:rPr>
          <w:rFonts w:ascii="Times New Roman" w:hAnsi="Times New Roman"/>
          <w:sz w:val="24"/>
          <w:szCs w:val="24"/>
        </w:rPr>
        <w:t xml:space="preserve"> (cooperative, municipally-owned utility (MOU), or </w:t>
      </w:r>
      <w:r w:rsidR="00AF1638">
        <w:rPr>
          <w:rFonts w:ascii="Times New Roman" w:hAnsi="Times New Roman"/>
          <w:sz w:val="24"/>
          <w:szCs w:val="24"/>
        </w:rPr>
        <w:t xml:space="preserve">vertically integrated </w:t>
      </w:r>
      <w:r w:rsidR="004F52F0">
        <w:rPr>
          <w:rFonts w:ascii="Times New Roman" w:hAnsi="Times New Roman"/>
          <w:sz w:val="24"/>
          <w:szCs w:val="24"/>
        </w:rPr>
        <w:t xml:space="preserve">utility </w:t>
      </w:r>
      <w:r>
        <w:rPr>
          <w:rFonts w:ascii="Times New Roman" w:hAnsi="Times New Roman"/>
          <w:sz w:val="24"/>
          <w:szCs w:val="24"/>
        </w:rPr>
        <w:t>charges the owner of the chargers/charging station.</w:t>
      </w:r>
      <w:r w:rsidR="0058430B">
        <w:rPr>
          <w:rFonts w:ascii="Times New Roman" w:hAnsi="Times New Roman"/>
          <w:sz w:val="24"/>
          <w:szCs w:val="24"/>
        </w:rPr>
        <w:t xml:space="preserve">  As stated previously, Oncor supports </w:t>
      </w:r>
      <w:r w:rsidR="0058430B">
        <w:rPr>
          <w:rFonts w:ascii="Times New Roman" w:hAnsi="Times New Roman"/>
          <w:sz w:val="24"/>
          <w:szCs w:val="24"/>
        </w:rPr>
        <w:t>the adoption of a Commission rule and/or an amendment to PURA</w:t>
      </w:r>
      <w:r w:rsidR="00DD2F72">
        <w:rPr>
          <w:rFonts w:ascii="Times New Roman" w:hAnsi="Times New Roman"/>
          <w:sz w:val="24"/>
          <w:szCs w:val="24"/>
        </w:rPr>
        <w:t xml:space="preserve"> as needed to provide clarity on this point.</w:t>
      </w:r>
    </w:p>
    <w:p w:rsidR="00297514" w:rsidRPr="00E63F35" w:rsidP="00297514" w14:paraId="60AA15CD" w14:textId="1E0FB431">
      <w:pPr>
        <w:spacing w:after="120" w:line="240" w:lineRule="auto"/>
        <w:jc w:val="both"/>
        <w:rPr>
          <w:rFonts w:ascii="Times New Roman" w:hAnsi="Times New Roman"/>
          <w:b/>
          <w:color w:val="auto"/>
          <w:sz w:val="24"/>
          <w:szCs w:val="24"/>
          <w:shd w:val="clear" w:color="auto" w:fill="auto"/>
        </w:rPr>
      </w:pPr>
      <w:r w:rsidRPr="00E63F35">
        <w:rPr>
          <w:rFonts w:ascii="Times New Roman" w:hAnsi="Times New Roman"/>
          <w:b/>
          <w:sz w:val="24"/>
          <w:szCs w:val="24"/>
        </w:rPr>
        <w:t xml:space="preserve">3. </w:t>
      </w:r>
      <w:r w:rsidRPr="00E63F35">
        <w:rPr>
          <w:rFonts w:ascii="Times New Roman" w:hAnsi="Times New Roman"/>
          <w:b/>
          <w:sz w:val="24"/>
          <w:szCs w:val="24"/>
        </w:rPr>
        <w:t xml:space="preserve"> </w:t>
      </w:r>
      <w:r w:rsidRPr="00E63F35" w:rsidR="00E63F35">
        <w:rPr>
          <w:rFonts w:ascii="Times New Roman" w:hAnsi="Times New Roman"/>
          <w:b/>
          <w:sz w:val="24"/>
          <w:szCs w:val="24"/>
        </w:rPr>
        <w:t>As a matter of policy, how should the cost of the distribution system infrastructure associated with an electric vehicle charging station be recovered in the Texas competitive electric market?</w:t>
      </w:r>
    </w:p>
    <w:p w:rsidR="00A202CC" w:rsidP="004D3ECB" w14:paraId="1BE1E514" w14:textId="609CD0DD">
      <w:pPr>
        <w:spacing w:after="0" w:line="360" w:lineRule="auto"/>
        <w:ind w:firstLine="720"/>
        <w:jc w:val="both"/>
        <w:rPr>
          <w:rFonts w:ascii="Times New Roman" w:hAnsi="Times New Roman"/>
          <w:color w:val="auto"/>
          <w:sz w:val="24"/>
          <w:szCs w:val="24"/>
          <w:shd w:val="clear" w:color="auto" w:fill="auto"/>
        </w:rPr>
      </w:pPr>
      <w:r>
        <w:rPr>
          <w:rFonts w:ascii="Times New Roman" w:hAnsi="Times New Roman"/>
          <w:sz w:val="24"/>
          <w:szCs w:val="24"/>
        </w:rPr>
        <w:t xml:space="preserve">At this point in time, </w:t>
      </w:r>
      <w:r w:rsidR="004D3ECB">
        <w:rPr>
          <w:rFonts w:ascii="Times New Roman" w:hAnsi="Times New Roman"/>
          <w:sz w:val="24"/>
          <w:szCs w:val="24"/>
        </w:rPr>
        <w:t xml:space="preserve">absent legislative guidance, Oncor submits that </w:t>
      </w:r>
      <w:r>
        <w:rPr>
          <w:rFonts w:ascii="Times New Roman" w:hAnsi="Times New Roman"/>
          <w:sz w:val="24"/>
          <w:szCs w:val="24"/>
        </w:rPr>
        <w:t xml:space="preserve">TDUs should apply their standard facilities extension policies, including any generally applicable contribution in aid of construction </w:t>
      </w:r>
      <w:r w:rsidR="004D3ECB">
        <w:rPr>
          <w:rFonts w:ascii="Times New Roman" w:hAnsi="Times New Roman"/>
          <w:sz w:val="24"/>
          <w:szCs w:val="24"/>
        </w:rPr>
        <w:t xml:space="preserve">(“CIAC”) </w:t>
      </w:r>
      <w:r>
        <w:rPr>
          <w:rFonts w:ascii="Times New Roman" w:hAnsi="Times New Roman"/>
          <w:sz w:val="24"/>
          <w:szCs w:val="24"/>
        </w:rPr>
        <w:t>provisions/policies</w:t>
      </w:r>
      <w:r>
        <w:rPr>
          <w:rFonts w:ascii="Times New Roman" w:hAnsi="Times New Roman"/>
          <w:sz w:val="24"/>
          <w:szCs w:val="24"/>
        </w:rPr>
        <w:t>, to EV charging stations</w:t>
      </w:r>
      <w:r>
        <w:rPr>
          <w:rFonts w:ascii="Times New Roman" w:hAnsi="Times New Roman"/>
          <w:sz w:val="24"/>
          <w:szCs w:val="24"/>
        </w:rPr>
        <w:t xml:space="preserve">.  </w:t>
      </w:r>
      <w:r w:rsidR="004D3ECB">
        <w:rPr>
          <w:rFonts w:ascii="Times New Roman" w:hAnsi="Times New Roman"/>
          <w:sz w:val="24"/>
          <w:szCs w:val="24"/>
        </w:rPr>
        <w:t>If no CIAC is required under the CIAC provisions currently in place</w:t>
      </w:r>
      <w:r w:rsidR="003D738B">
        <w:rPr>
          <w:rFonts w:ascii="Times New Roman" w:hAnsi="Times New Roman"/>
          <w:sz w:val="24"/>
          <w:szCs w:val="24"/>
        </w:rPr>
        <w:t xml:space="preserve"> for that TDU</w:t>
      </w:r>
      <w:r w:rsidR="004D3ECB">
        <w:rPr>
          <w:rFonts w:ascii="Times New Roman" w:hAnsi="Times New Roman"/>
          <w:sz w:val="24"/>
          <w:szCs w:val="24"/>
        </w:rPr>
        <w:t xml:space="preserve">, then the costs of any TDU infrastructure will be </w:t>
      </w:r>
      <w:r w:rsidR="00B75CD8">
        <w:rPr>
          <w:rFonts w:ascii="Times New Roman" w:hAnsi="Times New Roman"/>
          <w:sz w:val="24"/>
          <w:szCs w:val="24"/>
        </w:rPr>
        <w:t>assigned/</w:t>
      </w:r>
      <w:r w:rsidR="004D3ECB">
        <w:rPr>
          <w:rFonts w:ascii="Times New Roman" w:hAnsi="Times New Roman"/>
          <w:sz w:val="24"/>
          <w:szCs w:val="24"/>
        </w:rPr>
        <w:t xml:space="preserve">allocated </w:t>
      </w:r>
      <w:r w:rsidR="00460AC8">
        <w:rPr>
          <w:rFonts w:ascii="Times New Roman" w:hAnsi="Times New Roman"/>
          <w:sz w:val="24"/>
          <w:szCs w:val="24"/>
        </w:rPr>
        <w:t>under current ratemaking principl</w:t>
      </w:r>
      <w:r w:rsidR="00606AB7">
        <w:rPr>
          <w:rFonts w:ascii="Times New Roman" w:hAnsi="Times New Roman"/>
          <w:sz w:val="24"/>
          <w:szCs w:val="24"/>
        </w:rPr>
        <w:t>e</w:t>
      </w:r>
      <w:r w:rsidR="00460AC8">
        <w:rPr>
          <w:rFonts w:ascii="Times New Roman" w:hAnsi="Times New Roman"/>
          <w:sz w:val="24"/>
          <w:szCs w:val="24"/>
        </w:rPr>
        <w:t>s</w:t>
      </w:r>
      <w:r w:rsidR="004D3ECB">
        <w:rPr>
          <w:rFonts w:ascii="Times New Roman" w:hAnsi="Times New Roman"/>
          <w:sz w:val="24"/>
          <w:szCs w:val="24"/>
        </w:rPr>
        <w:t>.</w:t>
      </w:r>
    </w:p>
    <w:p w:rsidR="00297514" w:rsidP="004D3ECB" w14:paraId="358B30D2" w14:textId="5F7CDD0D">
      <w:pPr>
        <w:spacing w:after="0" w:line="360" w:lineRule="auto"/>
        <w:ind w:firstLine="720"/>
        <w:jc w:val="both"/>
        <w:rPr>
          <w:rFonts w:ascii="Times New Roman" w:hAnsi="Times New Roman"/>
          <w:color w:val="auto"/>
          <w:sz w:val="24"/>
          <w:szCs w:val="24"/>
          <w:shd w:val="clear" w:color="auto" w:fill="auto"/>
        </w:rPr>
      </w:pPr>
      <w:r>
        <w:rPr>
          <w:rFonts w:ascii="Times New Roman" w:hAnsi="Times New Roman"/>
          <w:sz w:val="24"/>
          <w:szCs w:val="24"/>
        </w:rPr>
        <w:t xml:space="preserve">If the Commission chooses to provide a different treatment to facilities associated with EV public charging stations, it may elect to:  </w:t>
      </w:r>
      <w:r w:rsidR="006264F2">
        <w:rPr>
          <w:rFonts w:ascii="Times New Roman" w:hAnsi="Times New Roman"/>
          <w:sz w:val="24"/>
          <w:szCs w:val="24"/>
        </w:rPr>
        <w:t xml:space="preserve">(1) </w:t>
      </w:r>
      <w:r w:rsidR="004D3ECB">
        <w:rPr>
          <w:rFonts w:ascii="Times New Roman" w:hAnsi="Times New Roman"/>
          <w:sz w:val="24"/>
          <w:szCs w:val="24"/>
        </w:rPr>
        <w:t xml:space="preserve">spread the costs </w:t>
      </w:r>
      <w:r w:rsidR="006264F2">
        <w:rPr>
          <w:rFonts w:ascii="Times New Roman" w:hAnsi="Times New Roman"/>
          <w:sz w:val="24"/>
          <w:szCs w:val="24"/>
        </w:rPr>
        <w:t xml:space="preserve">of the infrastructure installed to serve charging stations </w:t>
      </w:r>
      <w:r w:rsidR="004D3ECB">
        <w:rPr>
          <w:rFonts w:ascii="Times New Roman" w:hAnsi="Times New Roman"/>
          <w:sz w:val="24"/>
          <w:szCs w:val="24"/>
        </w:rPr>
        <w:t xml:space="preserve">to all of the TDU’s </w:t>
      </w:r>
      <w:r w:rsidR="00460AC8">
        <w:rPr>
          <w:rFonts w:ascii="Times New Roman" w:hAnsi="Times New Roman"/>
          <w:sz w:val="24"/>
          <w:szCs w:val="24"/>
        </w:rPr>
        <w:t xml:space="preserve">retail rate </w:t>
      </w:r>
      <w:r w:rsidR="004D3ECB">
        <w:rPr>
          <w:rFonts w:ascii="Times New Roman" w:hAnsi="Times New Roman"/>
          <w:sz w:val="24"/>
          <w:szCs w:val="24"/>
        </w:rPr>
        <w:t>classes</w:t>
      </w:r>
      <w:r w:rsidR="00460AC8">
        <w:rPr>
          <w:rFonts w:ascii="Times New Roman" w:hAnsi="Times New Roman"/>
          <w:sz w:val="24"/>
          <w:szCs w:val="24"/>
        </w:rPr>
        <w:t>, including the transmission level class(</w:t>
      </w:r>
      <w:r w:rsidR="00460AC8">
        <w:rPr>
          <w:rFonts w:ascii="Times New Roman" w:hAnsi="Times New Roman"/>
          <w:sz w:val="24"/>
          <w:szCs w:val="24"/>
        </w:rPr>
        <w:t>es</w:t>
      </w:r>
      <w:r w:rsidR="00460AC8">
        <w:rPr>
          <w:rFonts w:ascii="Times New Roman" w:hAnsi="Times New Roman"/>
          <w:sz w:val="24"/>
          <w:szCs w:val="24"/>
        </w:rPr>
        <w:t xml:space="preserve">); </w:t>
      </w:r>
      <w:r w:rsidR="006264F2">
        <w:rPr>
          <w:rFonts w:ascii="Times New Roman" w:hAnsi="Times New Roman"/>
          <w:sz w:val="24"/>
          <w:szCs w:val="24"/>
        </w:rPr>
        <w:t>(2)</w:t>
      </w:r>
      <w:r w:rsidR="004D3ECB">
        <w:rPr>
          <w:rFonts w:ascii="Times New Roman" w:hAnsi="Times New Roman"/>
          <w:sz w:val="24"/>
          <w:szCs w:val="24"/>
        </w:rPr>
        <w:t xml:space="preserve"> uplift the costs to all customers in the Electric Reliability Council of Texas, in some manner similar to transmission costs under the Transmission Cost of Service approach</w:t>
      </w:r>
      <w:r w:rsidR="00460AC8">
        <w:rPr>
          <w:rFonts w:ascii="Times New Roman" w:hAnsi="Times New Roman"/>
          <w:sz w:val="24"/>
          <w:szCs w:val="24"/>
        </w:rPr>
        <w:t>; or (3) provide some other specialized cost allocation or recovery method/approach</w:t>
      </w:r>
      <w:r w:rsidR="004D3ECB">
        <w:rPr>
          <w:rFonts w:ascii="Times New Roman" w:hAnsi="Times New Roman"/>
          <w:sz w:val="24"/>
          <w:szCs w:val="24"/>
        </w:rPr>
        <w:t xml:space="preserve">.  </w:t>
      </w:r>
      <w:r>
        <w:rPr>
          <w:rFonts w:ascii="Times New Roman" w:hAnsi="Times New Roman"/>
          <w:sz w:val="24"/>
          <w:szCs w:val="24"/>
        </w:rPr>
        <w:t xml:space="preserve">As with renewable energy credits (RECs) and the competitive renewable energy zone (CREZ) infrastructure, the Commission may also defer to </w:t>
      </w:r>
      <w:r w:rsidR="004D3ECB">
        <w:rPr>
          <w:rFonts w:ascii="Times New Roman" w:hAnsi="Times New Roman"/>
          <w:sz w:val="24"/>
          <w:szCs w:val="24"/>
        </w:rPr>
        <w:t xml:space="preserve">the Texas Legislature to determine whether, and how best, to provide any assistance or incentives to the </w:t>
      </w:r>
      <w:r w:rsidR="00C5113C">
        <w:rPr>
          <w:rFonts w:ascii="Times New Roman" w:hAnsi="Times New Roman"/>
          <w:sz w:val="24"/>
          <w:szCs w:val="24"/>
        </w:rPr>
        <w:t xml:space="preserve">installation </w:t>
      </w:r>
      <w:r w:rsidR="004D3ECB">
        <w:rPr>
          <w:rFonts w:ascii="Times New Roman" w:hAnsi="Times New Roman"/>
          <w:sz w:val="24"/>
          <w:szCs w:val="24"/>
        </w:rPr>
        <w:t>of EV charg</w:t>
      </w:r>
      <w:r w:rsidR="006264F2">
        <w:rPr>
          <w:rFonts w:ascii="Times New Roman" w:hAnsi="Times New Roman"/>
          <w:sz w:val="24"/>
          <w:szCs w:val="24"/>
        </w:rPr>
        <w:t>ers</w:t>
      </w:r>
      <w:r>
        <w:rPr>
          <w:rFonts w:ascii="Times New Roman" w:hAnsi="Times New Roman"/>
          <w:sz w:val="24"/>
          <w:szCs w:val="24"/>
        </w:rPr>
        <w:t>.  Depending on the public policy goals identified, incentives could be extended directly</w:t>
      </w:r>
      <w:r w:rsidR="00277291">
        <w:rPr>
          <w:rFonts w:ascii="Times New Roman" w:hAnsi="Times New Roman"/>
          <w:sz w:val="24"/>
          <w:szCs w:val="24"/>
        </w:rPr>
        <w:t>--</w:t>
      </w:r>
      <w:r>
        <w:rPr>
          <w:rFonts w:ascii="Times New Roman" w:hAnsi="Times New Roman"/>
          <w:sz w:val="24"/>
          <w:szCs w:val="24"/>
        </w:rPr>
        <w:t>to</w:t>
      </w:r>
      <w:r w:rsidR="00A202CC">
        <w:rPr>
          <w:rFonts w:ascii="Times New Roman" w:hAnsi="Times New Roman"/>
          <w:sz w:val="24"/>
          <w:szCs w:val="24"/>
        </w:rPr>
        <w:t xml:space="preserve"> public charging stations, or private charging equipment owned by individual homeowners, multi-unit housing </w:t>
      </w:r>
      <w:r w:rsidR="006264F2">
        <w:rPr>
          <w:rFonts w:ascii="Times New Roman" w:hAnsi="Times New Roman"/>
          <w:sz w:val="24"/>
          <w:szCs w:val="24"/>
        </w:rPr>
        <w:t>complexes</w:t>
      </w:r>
      <w:r w:rsidR="00A202CC">
        <w:rPr>
          <w:rFonts w:ascii="Times New Roman" w:hAnsi="Times New Roman"/>
          <w:sz w:val="24"/>
          <w:szCs w:val="24"/>
        </w:rPr>
        <w:t>, employers, or vehicle fleet owners</w:t>
      </w:r>
      <w:r w:rsidR="00277291">
        <w:rPr>
          <w:rFonts w:ascii="Times New Roman" w:hAnsi="Times New Roman"/>
          <w:sz w:val="24"/>
          <w:szCs w:val="24"/>
        </w:rPr>
        <w:t>--</w:t>
      </w:r>
      <w:r>
        <w:rPr>
          <w:rFonts w:ascii="Times New Roman" w:hAnsi="Times New Roman"/>
          <w:sz w:val="24"/>
          <w:szCs w:val="24"/>
        </w:rPr>
        <w:t>or indirectly through utility line extension policies and rate tariffs.</w:t>
      </w:r>
    </w:p>
    <w:p w:rsidR="00092256" w:rsidRPr="00297514" w:rsidP="004D3ECB" w14:paraId="798CE0E8" w14:textId="6C7FB927">
      <w:pPr>
        <w:spacing w:after="0" w:line="360" w:lineRule="auto"/>
        <w:ind w:firstLine="720"/>
        <w:jc w:val="both"/>
        <w:rPr>
          <w:rFonts w:ascii="Times New Roman" w:hAnsi="Times New Roman"/>
          <w:color w:val="auto"/>
          <w:sz w:val="24"/>
          <w:szCs w:val="24"/>
          <w:shd w:val="clear" w:color="auto" w:fill="auto"/>
        </w:rPr>
      </w:pPr>
      <w:r>
        <w:rPr>
          <w:rFonts w:ascii="Times New Roman" w:hAnsi="Times New Roman"/>
          <w:sz w:val="24"/>
          <w:szCs w:val="24"/>
        </w:rPr>
        <w:t xml:space="preserve">While not directly related to the issue of cost recovery, Oncor would note that providing service to owners of fleets of trucks </w:t>
      </w:r>
      <w:r w:rsidR="001C6872">
        <w:rPr>
          <w:rFonts w:ascii="Times New Roman" w:hAnsi="Times New Roman"/>
          <w:sz w:val="24"/>
          <w:szCs w:val="24"/>
        </w:rPr>
        <w:t xml:space="preserve">as they switch to EV trucks </w:t>
      </w:r>
      <w:r>
        <w:rPr>
          <w:rFonts w:ascii="Times New Roman" w:hAnsi="Times New Roman"/>
          <w:sz w:val="24"/>
          <w:szCs w:val="24"/>
        </w:rPr>
        <w:t xml:space="preserve">could present issues that are unlikely to occur with respect to residential or personal automobile public charging.  In particular, Oncor projects that the owner of a fleet of trucks used for local distribution of goods could easily reach a load of 40-60 MW for its chargers.  While a single such load </w:t>
      </w:r>
      <w:r w:rsidR="00872936">
        <w:rPr>
          <w:rFonts w:ascii="Times New Roman" w:hAnsi="Times New Roman"/>
          <w:sz w:val="24"/>
          <w:szCs w:val="24"/>
        </w:rPr>
        <w:t>would likely not present major problems, truck fleet owners tend to be located in relative proximity to each other in warehouse distribution areas, such as near Alliance Airport, near DFW Airport, and in the southern Dallas intermodal area</w:t>
      </w:r>
      <w:r w:rsidR="00D646E2">
        <w:rPr>
          <w:rFonts w:ascii="Times New Roman" w:hAnsi="Times New Roman"/>
          <w:sz w:val="24"/>
          <w:szCs w:val="24"/>
        </w:rPr>
        <w:t>, for example</w:t>
      </w:r>
      <w:r w:rsidR="00872936">
        <w:rPr>
          <w:rFonts w:ascii="Times New Roman" w:hAnsi="Times New Roman"/>
          <w:sz w:val="24"/>
          <w:szCs w:val="24"/>
        </w:rPr>
        <w:t xml:space="preserve">.  As these fleets are electrified over the next 3-10 years, significant upgrades to </w:t>
      </w:r>
      <w:r w:rsidR="00872936">
        <w:rPr>
          <w:rFonts w:ascii="Times New Roman" w:hAnsi="Times New Roman"/>
          <w:sz w:val="24"/>
          <w:szCs w:val="24"/>
        </w:rPr>
        <w:t>Oncor’s</w:t>
      </w:r>
      <w:r w:rsidR="00872936">
        <w:rPr>
          <w:rFonts w:ascii="Times New Roman" w:hAnsi="Times New Roman"/>
          <w:sz w:val="24"/>
          <w:szCs w:val="24"/>
        </w:rPr>
        <w:t xml:space="preserve"> distribution and/or transmission system may be necessary.  Oncor foresees the possibility </w:t>
      </w:r>
      <w:r w:rsidR="00D646E2">
        <w:rPr>
          <w:rFonts w:ascii="Times New Roman" w:hAnsi="Times New Roman"/>
          <w:sz w:val="24"/>
          <w:szCs w:val="24"/>
        </w:rPr>
        <w:t>that commercial fleet electrification may</w:t>
      </w:r>
      <w:r w:rsidR="00872936">
        <w:rPr>
          <w:rFonts w:ascii="Times New Roman" w:hAnsi="Times New Roman"/>
          <w:sz w:val="24"/>
          <w:szCs w:val="24"/>
        </w:rPr>
        <w:t xml:space="preserve"> rais</w:t>
      </w:r>
      <w:r w:rsidR="00D646E2">
        <w:rPr>
          <w:rFonts w:ascii="Times New Roman" w:hAnsi="Times New Roman"/>
          <w:sz w:val="24"/>
          <w:szCs w:val="24"/>
        </w:rPr>
        <w:t>e similar infrastructure</w:t>
      </w:r>
      <w:r w:rsidR="00872936">
        <w:rPr>
          <w:rFonts w:ascii="Times New Roman" w:hAnsi="Times New Roman"/>
          <w:sz w:val="24"/>
          <w:szCs w:val="24"/>
        </w:rPr>
        <w:t xml:space="preserve"> </w:t>
      </w:r>
      <w:r w:rsidR="00872936">
        <w:rPr>
          <w:rFonts w:ascii="Times New Roman" w:hAnsi="Times New Roman"/>
          <w:sz w:val="24"/>
          <w:szCs w:val="24"/>
        </w:rPr>
        <w:t xml:space="preserve">challenges </w:t>
      </w:r>
      <w:r w:rsidR="00D646E2">
        <w:rPr>
          <w:rFonts w:ascii="Times New Roman" w:hAnsi="Times New Roman"/>
          <w:sz w:val="24"/>
          <w:szCs w:val="24"/>
        </w:rPr>
        <w:t xml:space="preserve">to what </w:t>
      </w:r>
      <w:r w:rsidR="00872936">
        <w:rPr>
          <w:rFonts w:ascii="Times New Roman" w:hAnsi="Times New Roman"/>
          <w:sz w:val="24"/>
          <w:szCs w:val="24"/>
        </w:rPr>
        <w:t xml:space="preserve">it has faced in West Texas over the last decade when oil/gas load demands increased </w:t>
      </w:r>
      <w:r w:rsidR="001C6872">
        <w:rPr>
          <w:rFonts w:ascii="Times New Roman" w:hAnsi="Times New Roman"/>
          <w:sz w:val="24"/>
          <w:szCs w:val="24"/>
        </w:rPr>
        <w:t xml:space="preserve">both </w:t>
      </w:r>
      <w:r w:rsidR="00DD2F72">
        <w:rPr>
          <w:rFonts w:ascii="Times New Roman" w:hAnsi="Times New Roman"/>
          <w:sz w:val="24"/>
          <w:szCs w:val="24"/>
        </w:rPr>
        <w:t>substantially</w:t>
      </w:r>
      <w:r w:rsidR="001C6872">
        <w:rPr>
          <w:rFonts w:ascii="Times New Roman" w:hAnsi="Times New Roman"/>
          <w:sz w:val="24"/>
          <w:szCs w:val="24"/>
        </w:rPr>
        <w:t xml:space="preserve"> and quickly</w:t>
      </w:r>
      <w:r w:rsidR="00872936">
        <w:rPr>
          <w:rFonts w:ascii="Times New Roman" w:hAnsi="Times New Roman"/>
          <w:sz w:val="24"/>
          <w:szCs w:val="24"/>
        </w:rPr>
        <w:t xml:space="preserve">.  Oncor also believes that, as occurred in West Texas, fleet electrification customers may want service faster than Oncor can </w:t>
      </w:r>
      <w:r w:rsidR="00DD2F72">
        <w:rPr>
          <w:rFonts w:ascii="Times New Roman" w:hAnsi="Times New Roman"/>
          <w:sz w:val="24"/>
          <w:szCs w:val="24"/>
        </w:rPr>
        <w:t>engineer, certificate,</w:t>
      </w:r>
      <w:r w:rsidR="00D646E2">
        <w:rPr>
          <w:rFonts w:ascii="Times New Roman" w:hAnsi="Times New Roman"/>
          <w:sz w:val="24"/>
          <w:szCs w:val="24"/>
        </w:rPr>
        <w:t xml:space="preserve"> </w:t>
      </w:r>
      <w:r w:rsidR="00872936">
        <w:rPr>
          <w:rFonts w:ascii="Times New Roman" w:hAnsi="Times New Roman"/>
          <w:sz w:val="24"/>
          <w:szCs w:val="24"/>
        </w:rPr>
        <w:t>procure</w:t>
      </w:r>
      <w:r w:rsidR="00DD2F72">
        <w:rPr>
          <w:rFonts w:ascii="Times New Roman" w:hAnsi="Times New Roman"/>
          <w:sz w:val="24"/>
          <w:szCs w:val="24"/>
        </w:rPr>
        <w:t>,</w:t>
      </w:r>
      <w:r w:rsidR="00872936">
        <w:rPr>
          <w:rFonts w:ascii="Times New Roman" w:hAnsi="Times New Roman"/>
          <w:sz w:val="24"/>
          <w:szCs w:val="24"/>
        </w:rPr>
        <w:t xml:space="preserve"> and </w:t>
      </w:r>
      <w:r w:rsidR="00D646E2">
        <w:rPr>
          <w:rFonts w:ascii="Times New Roman" w:hAnsi="Times New Roman"/>
          <w:sz w:val="24"/>
          <w:szCs w:val="24"/>
        </w:rPr>
        <w:t>construct</w:t>
      </w:r>
      <w:r w:rsidR="00872936">
        <w:rPr>
          <w:rFonts w:ascii="Times New Roman" w:hAnsi="Times New Roman"/>
          <w:sz w:val="24"/>
          <w:szCs w:val="24"/>
        </w:rPr>
        <w:t xml:space="preserve"> the necessary facilities</w:t>
      </w:r>
      <w:r w:rsidR="00EC7EE4">
        <w:rPr>
          <w:rFonts w:ascii="Times New Roman" w:hAnsi="Times New Roman"/>
          <w:sz w:val="24"/>
          <w:szCs w:val="24"/>
        </w:rPr>
        <w:t>.</w:t>
      </w:r>
      <w:r w:rsidR="00872936">
        <w:rPr>
          <w:rFonts w:ascii="Times New Roman" w:hAnsi="Times New Roman"/>
          <w:sz w:val="24"/>
          <w:szCs w:val="24"/>
        </w:rPr>
        <w:t xml:space="preserve">.  Oncor submits that it may need flexible policies from </w:t>
      </w:r>
      <w:r w:rsidR="00EC7EE4">
        <w:rPr>
          <w:rFonts w:ascii="Times New Roman" w:hAnsi="Times New Roman"/>
          <w:sz w:val="24"/>
          <w:szCs w:val="24"/>
        </w:rPr>
        <w:t xml:space="preserve">ERCOT and </w:t>
      </w:r>
      <w:r w:rsidR="00872936">
        <w:rPr>
          <w:rFonts w:ascii="Times New Roman" w:hAnsi="Times New Roman"/>
          <w:sz w:val="24"/>
          <w:szCs w:val="24"/>
        </w:rPr>
        <w:t>the Commission in order to meet its customers’ needs, such as</w:t>
      </w:r>
      <w:r w:rsidR="00CE00A4">
        <w:rPr>
          <w:rFonts w:ascii="Times New Roman" w:hAnsi="Times New Roman"/>
          <w:sz w:val="24"/>
          <w:szCs w:val="24"/>
        </w:rPr>
        <w:t>:</w:t>
      </w:r>
      <w:r w:rsidR="00872936">
        <w:rPr>
          <w:rFonts w:ascii="Times New Roman" w:hAnsi="Times New Roman"/>
          <w:sz w:val="24"/>
          <w:szCs w:val="24"/>
        </w:rPr>
        <w:t xml:space="preserve"> (1) add</w:t>
      </w:r>
      <w:r w:rsidR="00EC7EE4">
        <w:rPr>
          <w:rFonts w:ascii="Times New Roman" w:hAnsi="Times New Roman"/>
          <w:sz w:val="24"/>
          <w:szCs w:val="24"/>
        </w:rPr>
        <w:t>ing</w:t>
      </w:r>
      <w:r w:rsidR="00872936">
        <w:rPr>
          <w:rFonts w:ascii="Times New Roman" w:hAnsi="Times New Roman"/>
          <w:sz w:val="24"/>
          <w:szCs w:val="24"/>
        </w:rPr>
        <w:t xml:space="preserve"> transmission facilities sooner than organic </w:t>
      </w:r>
      <w:r w:rsidR="00EC7EE4">
        <w:rPr>
          <w:rFonts w:ascii="Times New Roman" w:hAnsi="Times New Roman"/>
          <w:sz w:val="24"/>
          <w:szCs w:val="24"/>
        </w:rPr>
        <w:t xml:space="preserve">load </w:t>
      </w:r>
      <w:r w:rsidR="00872936">
        <w:rPr>
          <w:rFonts w:ascii="Times New Roman" w:hAnsi="Times New Roman"/>
          <w:sz w:val="24"/>
          <w:szCs w:val="24"/>
        </w:rPr>
        <w:t>growth would otherwi</w:t>
      </w:r>
      <w:r w:rsidR="00CE00A4">
        <w:rPr>
          <w:rFonts w:ascii="Times New Roman" w:hAnsi="Times New Roman"/>
          <w:sz w:val="24"/>
          <w:szCs w:val="24"/>
        </w:rPr>
        <w:t>se suggest;</w:t>
      </w:r>
      <w:r w:rsidR="00872936">
        <w:rPr>
          <w:rFonts w:ascii="Times New Roman" w:hAnsi="Times New Roman"/>
          <w:sz w:val="24"/>
          <w:szCs w:val="24"/>
        </w:rPr>
        <w:t xml:space="preserve"> (2) order</w:t>
      </w:r>
      <w:r w:rsidR="00EC7EE4">
        <w:rPr>
          <w:rFonts w:ascii="Times New Roman" w:hAnsi="Times New Roman"/>
          <w:sz w:val="24"/>
          <w:szCs w:val="24"/>
        </w:rPr>
        <w:t>ing</w:t>
      </w:r>
      <w:r w:rsidR="00872936">
        <w:rPr>
          <w:rFonts w:ascii="Times New Roman" w:hAnsi="Times New Roman"/>
          <w:sz w:val="24"/>
          <w:szCs w:val="24"/>
        </w:rPr>
        <w:t xml:space="preserve"> </w:t>
      </w:r>
      <w:r w:rsidR="00EC7EE4">
        <w:rPr>
          <w:rFonts w:ascii="Times New Roman" w:hAnsi="Times New Roman"/>
          <w:sz w:val="24"/>
          <w:szCs w:val="24"/>
        </w:rPr>
        <w:t xml:space="preserve">long-lead time equipment such as </w:t>
      </w:r>
      <w:r w:rsidR="00872936">
        <w:rPr>
          <w:rFonts w:ascii="Times New Roman" w:hAnsi="Times New Roman"/>
          <w:sz w:val="24"/>
          <w:szCs w:val="24"/>
        </w:rPr>
        <w:t xml:space="preserve">transformers </w:t>
      </w:r>
      <w:r w:rsidR="00EC7EE4">
        <w:rPr>
          <w:rFonts w:ascii="Times New Roman" w:hAnsi="Times New Roman"/>
          <w:sz w:val="24"/>
          <w:szCs w:val="24"/>
        </w:rPr>
        <w:t>prior to identifying a specific locational need;</w:t>
      </w:r>
      <w:r w:rsidR="00CE00A4">
        <w:rPr>
          <w:rFonts w:ascii="Times New Roman" w:hAnsi="Times New Roman"/>
          <w:sz w:val="24"/>
          <w:szCs w:val="24"/>
        </w:rPr>
        <w:t xml:space="preserve"> and (3) allowing flexibility in its Facilities Extension Agreement</w:t>
      </w:r>
      <w:r w:rsidR="00EC7EE4">
        <w:rPr>
          <w:rFonts w:ascii="Times New Roman" w:hAnsi="Times New Roman"/>
          <w:sz w:val="24"/>
          <w:szCs w:val="24"/>
        </w:rPr>
        <w:t xml:space="preserve"> (FEA) process to determine when</w:t>
      </w:r>
      <w:r w:rsidR="00CE00A4">
        <w:rPr>
          <w:rFonts w:ascii="Times New Roman" w:hAnsi="Times New Roman"/>
          <w:sz w:val="24"/>
          <w:szCs w:val="24"/>
        </w:rPr>
        <w:t xml:space="preserve"> the customer must achieve its projected load  by allowing phased-in load requirements over a multi-year time period</w:t>
      </w:r>
      <w:r w:rsidR="00872936">
        <w:rPr>
          <w:rFonts w:ascii="Times New Roman" w:hAnsi="Times New Roman"/>
          <w:sz w:val="24"/>
          <w:szCs w:val="24"/>
        </w:rPr>
        <w:t xml:space="preserve">.  </w:t>
      </w:r>
      <w:r w:rsidR="001C6872">
        <w:rPr>
          <w:rFonts w:ascii="Times New Roman" w:hAnsi="Times New Roman"/>
          <w:sz w:val="24"/>
          <w:szCs w:val="24"/>
        </w:rPr>
        <w:t>As Oncor continues to discuss electrification with its current fleet customer</w:t>
      </w:r>
      <w:r w:rsidR="00EC7EE4">
        <w:rPr>
          <w:rFonts w:ascii="Times New Roman" w:hAnsi="Times New Roman"/>
          <w:sz w:val="24"/>
          <w:szCs w:val="24"/>
        </w:rPr>
        <w:t>s</w:t>
      </w:r>
      <w:r w:rsidR="001C6872">
        <w:rPr>
          <w:rFonts w:ascii="Times New Roman" w:hAnsi="Times New Roman"/>
          <w:sz w:val="24"/>
          <w:szCs w:val="24"/>
        </w:rPr>
        <w:t>, additional flexibility in policies may be suggested.</w:t>
      </w:r>
    </w:p>
    <w:p w:rsidR="005A7771" w:rsidP="00607C36" w14:paraId="7AA18C33" w14:textId="7F9B36B6">
      <w:pPr>
        <w:spacing w:after="120" w:line="240" w:lineRule="auto"/>
        <w:jc w:val="both"/>
        <w:rPr>
          <w:rFonts w:ascii="Times New Roman" w:hAnsi="Times New Roman"/>
          <w:b/>
          <w:color w:val="auto"/>
          <w:sz w:val="24"/>
          <w:szCs w:val="24"/>
          <w:shd w:val="clear" w:color="auto" w:fill="auto"/>
        </w:rPr>
      </w:pPr>
      <w:r w:rsidRPr="00D30557">
        <w:rPr>
          <w:rFonts w:ascii="Times New Roman" w:hAnsi="Times New Roman"/>
          <w:b/>
          <w:sz w:val="24"/>
          <w:szCs w:val="24"/>
        </w:rPr>
        <w:t xml:space="preserve">4. </w:t>
      </w:r>
      <w:r w:rsidRPr="00D30557">
        <w:rPr>
          <w:rFonts w:ascii="Times New Roman" w:hAnsi="Times New Roman"/>
          <w:b/>
          <w:sz w:val="24"/>
          <w:szCs w:val="24"/>
        </w:rPr>
        <w:t xml:space="preserve"> </w:t>
      </w:r>
      <w:r w:rsidRPr="00D30557" w:rsidR="00D30557">
        <w:rPr>
          <w:rFonts w:ascii="Times New Roman" w:hAnsi="Times New Roman"/>
          <w:b/>
          <w:sz w:val="24"/>
          <w:szCs w:val="24"/>
        </w:rPr>
        <w:t>I</w:t>
      </w:r>
      <w:r w:rsidR="006264F2">
        <w:rPr>
          <w:rFonts w:ascii="Times New Roman" w:hAnsi="Times New Roman"/>
          <w:b/>
          <w:sz w:val="24"/>
          <w:szCs w:val="24"/>
        </w:rPr>
        <w:t>s</w:t>
      </w:r>
      <w:r w:rsidRPr="00D30557" w:rsidR="00D30557">
        <w:rPr>
          <w:rFonts w:ascii="Times New Roman" w:hAnsi="Times New Roman"/>
          <w:b/>
          <w:sz w:val="24"/>
          <w:szCs w:val="24"/>
        </w:rPr>
        <w:t xml:space="preserve"> the answer to Question 3 different for an electric vehicle charging station located in a remote area, primarily for use by long-distance rather than local motorists?</w:t>
      </w:r>
    </w:p>
    <w:p w:rsidR="00D30557" w:rsidRPr="00D30557" w:rsidP="00253F7C" w14:paraId="020E1121" w14:textId="30052411">
      <w:pPr>
        <w:spacing w:after="120" w:line="360" w:lineRule="auto"/>
        <w:jc w:val="both"/>
        <w:rPr>
          <w:rFonts w:ascii="Times New Roman" w:hAnsi="Times New Roman"/>
          <w:bCs/>
          <w:color w:val="auto"/>
          <w:sz w:val="24"/>
          <w:szCs w:val="24"/>
          <w:shd w:val="clear" w:color="auto" w:fill="auto"/>
        </w:rPr>
      </w:pPr>
      <w:r>
        <w:rPr>
          <w:rFonts w:ascii="Times New Roman" w:hAnsi="Times New Roman"/>
          <w:bCs/>
          <w:sz w:val="24"/>
          <w:szCs w:val="24"/>
        </w:rPr>
        <w:tab/>
      </w:r>
      <w:r w:rsidR="00EC7EE4">
        <w:rPr>
          <w:rFonts w:ascii="Times New Roman" w:hAnsi="Times New Roman"/>
          <w:bCs/>
          <w:sz w:val="24"/>
          <w:szCs w:val="24"/>
        </w:rPr>
        <w:t xml:space="preserve">Remote or underserved geographic areas may require specific incentives or rate treatment in order to </w:t>
      </w:r>
      <w:r w:rsidR="002E2C8B">
        <w:rPr>
          <w:rFonts w:ascii="Times New Roman" w:hAnsi="Times New Roman"/>
          <w:bCs/>
          <w:sz w:val="24"/>
          <w:szCs w:val="24"/>
        </w:rPr>
        <w:t xml:space="preserve">achieve </w:t>
      </w:r>
      <w:r w:rsidR="00E02BBB">
        <w:rPr>
          <w:rFonts w:ascii="Times New Roman" w:hAnsi="Times New Roman"/>
          <w:bCs/>
          <w:sz w:val="24"/>
          <w:szCs w:val="24"/>
        </w:rPr>
        <w:t>public policy goals as set by the Commission or the Legislature</w:t>
      </w:r>
      <w:r w:rsidR="00EC7EE4">
        <w:rPr>
          <w:rFonts w:ascii="Times New Roman" w:hAnsi="Times New Roman"/>
          <w:bCs/>
          <w:sz w:val="24"/>
          <w:szCs w:val="24"/>
        </w:rPr>
        <w:t>.  Such incentives may reasonabl</w:t>
      </w:r>
      <w:r w:rsidR="00056D43">
        <w:rPr>
          <w:rFonts w:ascii="Times New Roman" w:hAnsi="Times New Roman"/>
          <w:bCs/>
          <w:sz w:val="24"/>
          <w:szCs w:val="24"/>
        </w:rPr>
        <w:t>y</w:t>
      </w:r>
      <w:r w:rsidR="00EC7EE4">
        <w:rPr>
          <w:rFonts w:ascii="Times New Roman" w:hAnsi="Times New Roman"/>
          <w:bCs/>
          <w:sz w:val="24"/>
          <w:szCs w:val="24"/>
        </w:rPr>
        <w:t xml:space="preserve"> be related to air emission requirements in non-attainment areas or to transportation goals set on a state-wide basis.  Absent explicit policy choices, Oncor recommends that a </w:t>
      </w:r>
      <w:r w:rsidR="00253F7C">
        <w:rPr>
          <w:rFonts w:ascii="Times New Roman" w:hAnsi="Times New Roman"/>
          <w:bCs/>
          <w:sz w:val="24"/>
          <w:szCs w:val="24"/>
        </w:rPr>
        <w:t>TDU’s cost</w:t>
      </w:r>
      <w:r w:rsidR="00EC7EE4">
        <w:rPr>
          <w:rFonts w:ascii="Times New Roman" w:hAnsi="Times New Roman"/>
          <w:bCs/>
          <w:sz w:val="24"/>
          <w:szCs w:val="24"/>
        </w:rPr>
        <w:t xml:space="preserve"> allocation and rate design should be established on a system-wide basis rather than geographically.</w:t>
      </w:r>
      <w:r w:rsidR="00253F7C">
        <w:rPr>
          <w:rFonts w:ascii="Times New Roman" w:hAnsi="Times New Roman"/>
          <w:bCs/>
          <w:sz w:val="24"/>
          <w:szCs w:val="24"/>
        </w:rPr>
        <w:t xml:space="preserve">  </w:t>
      </w:r>
    </w:p>
    <w:p w:rsidR="00592E0A" w:rsidRPr="00222C42" w14:paraId="5D8EB6A7" w14:textId="0EE0A624">
      <w:pPr>
        <w:widowControl w:val="0"/>
        <w:spacing w:after="0" w:line="360" w:lineRule="auto"/>
        <w:jc w:val="center"/>
        <w:rPr>
          <w:rFonts w:ascii="Times New Roman" w:hAnsi="Times New Roman"/>
          <w:color w:val="auto"/>
          <w:sz w:val="24"/>
          <w:szCs w:val="24"/>
          <w:u w:val="single"/>
          <w:shd w:val="clear" w:color="auto" w:fill="auto"/>
        </w:rPr>
      </w:pPr>
      <w:r w:rsidRPr="00222C42">
        <w:rPr>
          <w:rFonts w:ascii="Times New Roman" w:hAnsi="Times New Roman"/>
          <w:b/>
          <w:bCs/>
          <w:sz w:val="24"/>
          <w:szCs w:val="24"/>
          <w:u w:val="single"/>
        </w:rPr>
        <w:t>I</w:t>
      </w:r>
      <w:r w:rsidR="00741728">
        <w:rPr>
          <w:rFonts w:ascii="Times New Roman" w:hAnsi="Times New Roman"/>
          <w:b/>
          <w:bCs/>
          <w:sz w:val="24"/>
          <w:szCs w:val="24"/>
          <w:u w:val="single"/>
        </w:rPr>
        <w:t>I</w:t>
      </w:r>
      <w:r w:rsidRPr="00222C42">
        <w:rPr>
          <w:rFonts w:ascii="Times New Roman" w:hAnsi="Times New Roman"/>
          <w:b/>
          <w:bCs/>
          <w:sz w:val="24"/>
          <w:szCs w:val="24"/>
          <w:u w:val="single"/>
        </w:rPr>
        <w:t>I.  PRAYER</w:t>
      </w:r>
    </w:p>
    <w:p w:rsidR="00592E0A" w:rsidRPr="00222C42" w14:paraId="47020061" w14:textId="77777777">
      <w:pPr>
        <w:widowControl w:val="0"/>
        <w:spacing w:after="0" w:line="360" w:lineRule="auto"/>
        <w:jc w:val="both"/>
        <w:rPr>
          <w:rFonts w:ascii="Times New Roman" w:hAnsi="Times New Roman"/>
          <w:color w:val="auto"/>
          <w:sz w:val="24"/>
          <w:szCs w:val="24"/>
          <w:shd w:val="clear" w:color="auto" w:fill="auto"/>
        </w:rPr>
      </w:pPr>
      <w:r w:rsidRPr="00222C42">
        <w:rPr>
          <w:rFonts w:ascii="Times New Roman" w:hAnsi="Times New Roman"/>
          <w:sz w:val="24"/>
          <w:szCs w:val="24"/>
        </w:rPr>
        <w:tab/>
        <w:t>WHEREFORE, PREMISES CONSIDERED, Oncor requests the Commission to consider the above Responses and incorporate them in this proceeding.</w:t>
      </w:r>
    </w:p>
    <w:p w:rsidR="00E724C2" w14:paraId="32D56FAB" w14:textId="60D168F8">
      <w:pPr>
        <w:rPr>
          <w:rFonts w:ascii="Times New Roman" w:hAnsi="Times New Roman"/>
          <w:b/>
          <w:color w:val="auto"/>
          <w:sz w:val="24"/>
          <w:szCs w:val="24"/>
          <w:u w:val="single"/>
          <w:shd w:val="clear" w:color="auto" w:fill="auto"/>
        </w:rPr>
      </w:pPr>
      <w:r>
        <w:rPr>
          <w:rFonts w:ascii="Times New Roman" w:hAnsi="Times New Roman"/>
          <w:b/>
          <w:sz w:val="24"/>
          <w:szCs w:val="24"/>
          <w:u w:val="single"/>
        </w:rPr>
        <w:br w:type="page"/>
      </w:r>
    </w:p>
    <w:p w:rsidR="00592E0A" w:rsidRPr="00222C42" w14:paraId="5CB4CEC7" w14:textId="77777777">
      <w:pPr>
        <w:widowControl w:val="0"/>
        <w:spacing w:after="0"/>
        <w:jc w:val="center"/>
        <w:rPr>
          <w:rFonts w:ascii="Times New Roman" w:hAnsi="Times New Roman"/>
          <w:b/>
          <w:color w:val="auto"/>
          <w:sz w:val="24"/>
          <w:szCs w:val="24"/>
          <w:u w:val="single"/>
          <w:shd w:val="clear" w:color="auto" w:fill="auto"/>
        </w:rPr>
      </w:pPr>
    </w:p>
    <w:p w:rsidR="00592E0A" w:rsidRPr="00222C42" w14:paraId="4129B236" w14:textId="77777777">
      <w:pPr>
        <w:widowControl w:val="0"/>
        <w:spacing w:after="0" w:line="360" w:lineRule="auto"/>
        <w:ind w:firstLine="720"/>
        <w:rPr>
          <w:rFonts w:ascii="Times New Roman" w:hAnsi="Times New Roman"/>
          <w:b/>
          <w:color w:val="auto"/>
          <w:sz w:val="24"/>
          <w:szCs w:val="24"/>
          <w:shd w:val="clear" w:color="auto" w:fill="auto"/>
        </w:rPr>
      </w:pPr>
      <w:r w:rsidRPr="00222C42">
        <w:rPr>
          <w:rFonts w:ascii="Times New Roman" w:hAnsi="Times New Roman"/>
          <w:b/>
          <w:sz w:val="24"/>
          <w:szCs w:val="24"/>
        </w:rPr>
        <w:tab/>
      </w:r>
      <w:r w:rsidRPr="00222C42">
        <w:rPr>
          <w:rFonts w:ascii="Times New Roman" w:hAnsi="Times New Roman"/>
          <w:b/>
          <w:sz w:val="24"/>
          <w:szCs w:val="24"/>
        </w:rPr>
        <w:tab/>
      </w:r>
      <w:r w:rsidRPr="00222C42">
        <w:rPr>
          <w:rFonts w:ascii="Times New Roman" w:hAnsi="Times New Roman"/>
          <w:b/>
          <w:sz w:val="24"/>
          <w:szCs w:val="24"/>
        </w:rPr>
        <w:tab/>
      </w:r>
      <w:r w:rsidRPr="00222C42">
        <w:rPr>
          <w:rFonts w:ascii="Times New Roman" w:hAnsi="Times New Roman"/>
          <w:b/>
          <w:sz w:val="24"/>
          <w:szCs w:val="24"/>
        </w:rPr>
        <w:tab/>
      </w:r>
      <w:r w:rsidRPr="00222C42">
        <w:rPr>
          <w:rFonts w:ascii="Times New Roman" w:hAnsi="Times New Roman"/>
          <w:b/>
          <w:sz w:val="24"/>
          <w:szCs w:val="24"/>
        </w:rPr>
        <w:tab/>
        <w:t>Respectfully submitted,</w:t>
      </w:r>
    </w:p>
    <w:p w:rsidR="00592E0A" w:rsidRPr="00222C42" w14:paraId="77A69935" w14:textId="658DE022">
      <w:pPr>
        <w:widowControl w:val="0"/>
        <w:spacing w:after="0" w:line="240" w:lineRule="auto"/>
        <w:rPr>
          <w:rFonts w:ascii="Times New Roman" w:hAnsi="Times New Roman"/>
          <w:b/>
          <w:color w:val="auto"/>
          <w:sz w:val="24"/>
          <w:szCs w:val="24"/>
          <w:shd w:val="clear" w:color="auto" w:fill="auto"/>
        </w:rPr>
      </w:pPr>
      <w:r w:rsidRPr="00222C42">
        <w:rPr>
          <w:rFonts w:ascii="Times New Roman" w:hAnsi="Times New Roman"/>
          <w:b/>
          <w:sz w:val="24"/>
          <w:szCs w:val="24"/>
        </w:rPr>
        <w:tab/>
      </w:r>
      <w:r w:rsidRPr="00222C42">
        <w:rPr>
          <w:rFonts w:ascii="Times New Roman" w:hAnsi="Times New Roman"/>
          <w:b/>
          <w:sz w:val="24"/>
          <w:szCs w:val="24"/>
        </w:rPr>
        <w:tab/>
      </w:r>
      <w:r w:rsidRPr="00222C42">
        <w:rPr>
          <w:rFonts w:ascii="Times New Roman" w:hAnsi="Times New Roman"/>
          <w:b/>
          <w:sz w:val="24"/>
          <w:szCs w:val="24"/>
        </w:rPr>
        <w:tab/>
      </w:r>
      <w:r w:rsidRPr="00222C42">
        <w:rPr>
          <w:rFonts w:ascii="Times New Roman" w:hAnsi="Times New Roman"/>
          <w:b/>
          <w:sz w:val="24"/>
          <w:szCs w:val="24"/>
        </w:rPr>
        <w:tab/>
      </w:r>
      <w:r w:rsidRPr="00222C42">
        <w:rPr>
          <w:rFonts w:ascii="Times New Roman" w:hAnsi="Times New Roman"/>
          <w:b/>
          <w:sz w:val="24"/>
          <w:szCs w:val="24"/>
        </w:rPr>
        <w:tab/>
      </w:r>
      <w:r w:rsidRPr="00222C42">
        <w:rPr>
          <w:rFonts w:ascii="Times New Roman" w:hAnsi="Times New Roman"/>
          <w:b/>
          <w:sz w:val="24"/>
          <w:szCs w:val="24"/>
        </w:rPr>
        <w:tab/>
        <w:t>Oncor Electric Delivery Company LLC</w:t>
      </w:r>
    </w:p>
    <w:p w:rsidR="00592E0A" w:rsidRPr="00222C42" w14:paraId="4D506D0E" w14:textId="5708B217">
      <w:pPr>
        <w:widowControl w:val="0"/>
        <w:tabs>
          <w:tab w:val="left" w:pos="4320"/>
        </w:tabs>
        <w:spacing w:after="0" w:line="240" w:lineRule="auto"/>
        <w:rPr>
          <w:rFonts w:ascii="Times New Roman" w:hAnsi="Times New Roman"/>
          <w:color w:val="auto"/>
          <w:sz w:val="24"/>
          <w:szCs w:val="24"/>
          <w:shd w:val="clear" w:color="auto" w:fill="auto"/>
        </w:rPr>
      </w:pPr>
    </w:p>
    <w:p w:rsidR="00592E0A" w:rsidRPr="00222C42" w14:paraId="21749405" w14:textId="6829205B">
      <w:pPr>
        <w:widowControl w:val="0"/>
        <w:tabs>
          <w:tab w:val="left" w:pos="4320"/>
        </w:tabs>
        <w:spacing w:after="0" w:line="240" w:lineRule="auto"/>
        <w:rPr>
          <w:rFonts w:ascii="Times New Roman" w:hAnsi="Times New Roman"/>
          <w:color w:val="auto"/>
          <w:sz w:val="24"/>
          <w:szCs w:val="24"/>
          <w:shd w:val="clear" w:color="auto" w:fill="auto"/>
        </w:rPr>
      </w:pPr>
    </w:p>
    <w:p w:rsidR="00592E0A" w:rsidRPr="00222C42" w14:paraId="105F46CE" w14:textId="6F1ABD26">
      <w:pPr>
        <w:widowControl w:val="0"/>
        <w:tabs>
          <w:tab w:val="left" w:pos="4320"/>
        </w:tabs>
        <w:spacing w:after="0" w:line="240" w:lineRule="auto"/>
        <w:rPr>
          <w:rFonts w:ascii="Times New Roman" w:hAnsi="Times New Roman"/>
          <w:color w:val="auto"/>
          <w:sz w:val="24"/>
          <w:szCs w:val="24"/>
          <w:shd w:val="clear" w:color="auto" w:fill="auto"/>
        </w:rPr>
      </w:pPr>
    </w:p>
    <w:p w:rsidR="00592E0A" w:rsidRPr="00222C42" w14:paraId="322C0F26" w14:textId="48235190">
      <w:pPr>
        <w:widowControl w:val="0"/>
        <w:tabs>
          <w:tab w:val="left" w:pos="4320"/>
        </w:tabs>
        <w:spacing w:after="0" w:line="240" w:lineRule="auto"/>
        <w:rPr>
          <w:rFonts w:ascii="Times New Roman" w:hAnsi="Times New Roman"/>
          <w:color w:val="auto"/>
          <w:sz w:val="24"/>
          <w:szCs w:val="24"/>
          <w:shd w:val="clear" w:color="auto" w:fill="auto"/>
        </w:rPr>
      </w:pPr>
      <w:r w:rsidRPr="00222C42">
        <w:rPr>
          <w:rFonts w:ascii="Times New Roman" w:hAnsi="Times New Roman"/>
          <w:sz w:val="24"/>
          <w:szCs w:val="24"/>
        </w:rPr>
        <w:tab/>
        <w:t>______________________________</w:t>
      </w:r>
    </w:p>
    <w:p w:rsidR="00592E0A" w:rsidRPr="00222C42" w14:paraId="5F4DF520" w14:textId="77777777">
      <w:pPr>
        <w:widowControl w:val="0"/>
        <w:tabs>
          <w:tab w:val="left" w:pos="4320"/>
        </w:tabs>
        <w:spacing w:after="0" w:line="240" w:lineRule="auto"/>
        <w:rPr>
          <w:rFonts w:ascii="Times New Roman" w:hAnsi="Times New Roman"/>
          <w:color w:val="auto"/>
          <w:sz w:val="24"/>
          <w:szCs w:val="24"/>
          <w:shd w:val="clear" w:color="auto" w:fill="auto"/>
        </w:rPr>
      </w:pPr>
      <w:r w:rsidRPr="00222C42">
        <w:rPr>
          <w:rFonts w:ascii="Times New Roman" w:hAnsi="Times New Roman"/>
          <w:sz w:val="24"/>
          <w:szCs w:val="24"/>
        </w:rPr>
        <w:tab/>
        <w:t>Howard V. Fisher</w:t>
      </w:r>
    </w:p>
    <w:p w:rsidR="00592E0A" w:rsidRPr="00222C42" w14:paraId="4CC1C20A" w14:textId="0AF966CF">
      <w:pPr>
        <w:widowControl w:val="0"/>
        <w:tabs>
          <w:tab w:val="left" w:pos="4320"/>
        </w:tabs>
        <w:spacing w:after="0" w:line="240" w:lineRule="auto"/>
        <w:ind w:hanging="120"/>
        <w:rPr>
          <w:rFonts w:ascii="Times New Roman" w:hAnsi="Times New Roman"/>
          <w:color w:val="auto"/>
          <w:sz w:val="24"/>
          <w:szCs w:val="24"/>
          <w:shd w:val="clear" w:color="auto" w:fill="auto"/>
        </w:rPr>
      </w:pPr>
      <w:r w:rsidRPr="00222C42">
        <w:rPr>
          <w:rFonts w:ascii="Times New Roman" w:hAnsi="Times New Roman"/>
          <w:sz w:val="24"/>
          <w:szCs w:val="24"/>
        </w:rPr>
        <w:tab/>
      </w:r>
      <w:r w:rsidRPr="00222C42">
        <w:rPr>
          <w:rFonts w:ascii="Times New Roman" w:hAnsi="Times New Roman"/>
          <w:sz w:val="24"/>
          <w:szCs w:val="24"/>
        </w:rPr>
        <w:tab/>
        <w:t xml:space="preserve">State </w:t>
      </w:r>
      <w:r w:rsidRPr="00222C42">
        <w:rPr>
          <w:rFonts w:ascii="Times New Roman" w:hAnsi="Times New Roman"/>
          <w:sz w:val="24"/>
          <w:szCs w:val="24"/>
        </w:rPr>
        <w:t>Bar</w:t>
      </w:r>
      <w:r w:rsidRPr="00222C42">
        <w:rPr>
          <w:rFonts w:ascii="Times New Roman" w:hAnsi="Times New Roman"/>
          <w:sz w:val="24"/>
          <w:szCs w:val="24"/>
        </w:rPr>
        <w:t xml:space="preserve"> No.  07051500</w:t>
      </w:r>
    </w:p>
    <w:p w:rsidR="00592E0A" w:rsidRPr="00222C42" w14:paraId="403DC550" w14:textId="68009B36">
      <w:pPr>
        <w:widowControl w:val="0"/>
        <w:tabs>
          <w:tab w:val="left" w:pos="4320"/>
        </w:tabs>
        <w:spacing w:after="0" w:line="240" w:lineRule="auto"/>
        <w:ind w:firstLine="5040"/>
        <w:rPr>
          <w:rFonts w:ascii="Times New Roman" w:hAnsi="Times New Roman"/>
          <w:color w:val="auto"/>
          <w:sz w:val="24"/>
          <w:szCs w:val="24"/>
          <w:shd w:val="clear" w:color="auto" w:fill="auto"/>
        </w:rPr>
      </w:pPr>
    </w:p>
    <w:p w:rsidR="00592E0A" w:rsidRPr="00222C42" w14:paraId="1CC75313" w14:textId="77777777">
      <w:pPr>
        <w:widowControl w:val="0"/>
        <w:tabs>
          <w:tab w:val="left" w:pos="4320"/>
        </w:tabs>
        <w:spacing w:after="0" w:line="240" w:lineRule="auto"/>
        <w:ind w:firstLine="4320"/>
        <w:rPr>
          <w:rFonts w:ascii="Times New Roman" w:hAnsi="Times New Roman"/>
          <w:color w:val="auto"/>
          <w:sz w:val="24"/>
          <w:szCs w:val="24"/>
          <w:shd w:val="clear" w:color="auto" w:fill="auto"/>
        </w:rPr>
      </w:pPr>
      <w:r w:rsidRPr="00222C42">
        <w:rPr>
          <w:rFonts w:ascii="Times New Roman" w:hAnsi="Times New Roman"/>
          <w:sz w:val="24"/>
          <w:szCs w:val="24"/>
        </w:rPr>
        <w:t>Senior Counsel</w:t>
      </w:r>
    </w:p>
    <w:p w:rsidR="00592E0A" w:rsidRPr="00222C42" w14:paraId="25CABE8B" w14:textId="23180DB9">
      <w:pPr>
        <w:widowControl w:val="0"/>
        <w:tabs>
          <w:tab w:val="left" w:pos="4320"/>
        </w:tabs>
        <w:spacing w:after="0" w:line="240" w:lineRule="auto"/>
        <w:ind w:firstLine="4320"/>
        <w:rPr>
          <w:rFonts w:ascii="Times New Roman" w:hAnsi="Times New Roman"/>
          <w:color w:val="auto"/>
          <w:sz w:val="24"/>
          <w:szCs w:val="24"/>
          <w:shd w:val="clear" w:color="auto" w:fill="auto"/>
        </w:rPr>
      </w:pPr>
      <w:r w:rsidRPr="00222C42">
        <w:rPr>
          <w:rFonts w:ascii="Times New Roman" w:hAnsi="Times New Roman"/>
          <w:sz w:val="24"/>
          <w:szCs w:val="24"/>
        </w:rPr>
        <w:t xml:space="preserve">1616 Woodall Rodgers Frwy, </w:t>
      </w:r>
      <w:r w:rsidRPr="00222C42">
        <w:rPr>
          <w:rFonts w:ascii="Times New Roman" w:hAnsi="Times New Roman"/>
          <w:sz w:val="24"/>
          <w:szCs w:val="24"/>
        </w:rPr>
        <w:t>Suite</w:t>
      </w:r>
      <w:r w:rsidRPr="00222C42">
        <w:rPr>
          <w:rFonts w:ascii="Times New Roman" w:hAnsi="Times New Roman"/>
          <w:sz w:val="24"/>
          <w:szCs w:val="24"/>
        </w:rPr>
        <w:t xml:space="preserve"> 6065</w:t>
      </w:r>
    </w:p>
    <w:p w:rsidR="00592E0A" w14:paraId="6DFCAEA3" w14:textId="77777777">
      <w:pPr>
        <w:widowControl w:val="0"/>
        <w:tabs>
          <w:tab w:val="left" w:pos="4320"/>
        </w:tabs>
        <w:spacing w:after="0" w:line="240" w:lineRule="auto"/>
        <w:ind w:firstLine="4320"/>
        <w:rPr>
          <w:rFonts w:ascii="Times New Roman" w:hAnsi="Times New Roman"/>
          <w:color w:val="auto"/>
          <w:sz w:val="24"/>
          <w:szCs w:val="24"/>
          <w:shd w:val="clear" w:color="auto" w:fill="auto"/>
        </w:rPr>
      </w:pPr>
      <w:r w:rsidRPr="00222C42">
        <w:rPr>
          <w:rFonts w:ascii="Times New Roman" w:hAnsi="Times New Roman"/>
          <w:sz w:val="24"/>
          <w:szCs w:val="24"/>
        </w:rPr>
        <w:t>Dallas</w:t>
      </w:r>
      <w:r w:rsidRPr="00222C42">
        <w:rPr>
          <w:rFonts w:ascii="Times New Roman" w:hAnsi="Times New Roman"/>
          <w:sz w:val="24"/>
          <w:szCs w:val="24"/>
        </w:rPr>
        <w:t xml:space="preserve">, </w:t>
      </w:r>
      <w:r w:rsidRPr="00222C42">
        <w:rPr>
          <w:rFonts w:ascii="Times New Roman" w:hAnsi="Times New Roman"/>
          <w:sz w:val="24"/>
          <w:szCs w:val="24"/>
        </w:rPr>
        <w:t>Texas</w:t>
      </w:r>
      <w:r w:rsidRPr="00222C42">
        <w:rPr>
          <w:rFonts w:ascii="Times New Roman" w:hAnsi="Times New Roman"/>
          <w:sz w:val="24"/>
          <w:szCs w:val="24"/>
        </w:rPr>
        <w:t xml:space="preserve"> 75202</w:t>
      </w:r>
    </w:p>
    <w:p w:rsidR="007D7E06" w:rsidRPr="00222C42" w14:paraId="23AABDF9" w14:textId="330BC77E">
      <w:pPr>
        <w:widowControl w:val="0"/>
        <w:tabs>
          <w:tab w:val="left" w:pos="4320"/>
        </w:tabs>
        <w:spacing w:after="0" w:line="240" w:lineRule="auto"/>
        <w:ind w:firstLine="4320"/>
        <w:rPr>
          <w:rFonts w:ascii="Times New Roman" w:hAnsi="Times New Roman"/>
          <w:color w:val="auto"/>
          <w:sz w:val="24"/>
          <w:szCs w:val="24"/>
          <w:shd w:val="clear" w:color="auto" w:fill="auto"/>
        </w:rPr>
      </w:pPr>
      <w:r>
        <w:rPr>
          <w:rFonts w:ascii="Times New Roman" w:hAnsi="Times New Roman"/>
          <w:sz w:val="24"/>
          <w:szCs w:val="24"/>
        </w:rPr>
        <w:t>howard.fisher@oncor.com</w:t>
      </w:r>
    </w:p>
    <w:p w:rsidR="00592E0A" w:rsidRPr="00222C42" w14:paraId="11C4A2BF" w14:textId="77777777">
      <w:pPr>
        <w:widowControl w:val="0"/>
        <w:tabs>
          <w:tab w:val="left" w:pos="4320"/>
        </w:tabs>
        <w:spacing w:after="0" w:line="240" w:lineRule="auto"/>
        <w:ind w:firstLine="4320"/>
        <w:rPr>
          <w:rFonts w:ascii="Times New Roman" w:hAnsi="Times New Roman"/>
          <w:color w:val="auto"/>
          <w:sz w:val="24"/>
          <w:szCs w:val="24"/>
          <w:shd w:val="clear" w:color="auto" w:fill="auto"/>
        </w:rPr>
      </w:pPr>
      <w:r w:rsidRPr="00222C42">
        <w:rPr>
          <w:rFonts w:ascii="Times New Roman" w:hAnsi="Times New Roman"/>
          <w:sz w:val="24"/>
          <w:szCs w:val="24"/>
        </w:rPr>
        <w:t>(214) 486-3026</w:t>
      </w:r>
    </w:p>
    <w:p w:rsidR="00592E0A" w:rsidRPr="00222C42" w14:paraId="3FA432DB" w14:textId="77777777">
      <w:pPr>
        <w:widowControl w:val="0"/>
        <w:tabs>
          <w:tab w:val="left" w:pos="4320"/>
        </w:tabs>
        <w:spacing w:after="0" w:line="240" w:lineRule="auto"/>
        <w:ind w:firstLine="4320"/>
        <w:rPr>
          <w:rFonts w:ascii="Times New Roman" w:hAnsi="Times New Roman"/>
          <w:color w:val="auto"/>
          <w:sz w:val="24"/>
          <w:szCs w:val="24"/>
          <w:shd w:val="clear" w:color="auto" w:fill="auto"/>
        </w:rPr>
      </w:pPr>
      <w:r w:rsidRPr="00222C42">
        <w:rPr>
          <w:rFonts w:ascii="Times New Roman" w:hAnsi="Times New Roman"/>
          <w:sz w:val="24"/>
          <w:szCs w:val="24"/>
        </w:rPr>
        <w:t>(214) 486-3221 (Facsimile)</w:t>
      </w:r>
    </w:p>
    <w:p w:rsidR="00592E0A" w:rsidRPr="00222C42" w14:paraId="193FE19D" w14:textId="77777777">
      <w:pPr>
        <w:widowControl w:val="0"/>
        <w:spacing w:after="0" w:line="480" w:lineRule="auto"/>
        <w:rPr>
          <w:rFonts w:ascii="Times New Roman" w:hAnsi="Times New Roman"/>
          <w:color w:val="auto"/>
          <w:sz w:val="24"/>
          <w:szCs w:val="24"/>
          <w:shd w:val="clear" w:color="auto" w:fill="auto"/>
        </w:rPr>
      </w:pPr>
    </w:p>
    <w:p w:rsidR="00592E0A" w:rsidRPr="00222C42" w14:paraId="42BF06A6" w14:textId="77777777">
      <w:pPr>
        <w:widowControl w:val="0"/>
        <w:spacing w:after="0"/>
        <w:rPr>
          <w:rFonts w:ascii="Times New Roman" w:hAnsi="Times New Roman"/>
          <w:color w:val="auto"/>
          <w:sz w:val="24"/>
          <w:szCs w:val="24"/>
          <w:shd w:val="clear" w:color="auto" w:fill="auto"/>
        </w:rPr>
      </w:pPr>
    </w:p>
    <w:p w:rsidR="00592E0A" w:rsidRPr="00222C42" w14:paraId="356ED424" w14:textId="05067A26">
      <w:pPr>
        <w:widowControl w:val="0"/>
        <w:spacing w:after="0"/>
        <w:jc w:val="center"/>
        <w:rPr>
          <w:rFonts w:ascii="Times New Roman" w:hAnsi="Times New Roman"/>
          <w:color w:val="auto"/>
          <w:sz w:val="24"/>
          <w:szCs w:val="24"/>
          <w:shd w:val="clear" w:color="auto" w:fill="auto"/>
        </w:rPr>
      </w:pPr>
      <w:r w:rsidRPr="00222C42">
        <w:rPr>
          <w:rFonts w:ascii="Times New Roman" w:hAnsi="Times New Roman"/>
          <w:b/>
          <w:bCs/>
          <w:sz w:val="24"/>
          <w:szCs w:val="24"/>
          <w:u w:val="single"/>
        </w:rPr>
        <w:t>CERTIFICATE OF SERVICE</w:t>
      </w:r>
    </w:p>
    <w:p w:rsidR="00592E0A" w:rsidRPr="00222C42" w14:paraId="77CD27A4" w14:textId="77777777">
      <w:pPr>
        <w:widowControl w:val="0"/>
        <w:spacing w:after="0"/>
        <w:jc w:val="center"/>
        <w:rPr>
          <w:rFonts w:ascii="Times New Roman" w:hAnsi="Times New Roman"/>
          <w:color w:val="auto"/>
          <w:sz w:val="24"/>
          <w:szCs w:val="24"/>
          <w:shd w:val="clear" w:color="auto" w:fill="auto"/>
        </w:rPr>
      </w:pPr>
    </w:p>
    <w:p w:rsidR="00A4608F" w:rsidP="00A4608F" w14:paraId="743E51F1" w14:textId="77777777">
      <w:pPr>
        <w:pStyle w:val="Heading1"/>
        <w:keepLines/>
        <w:numPr>
          <w:ilvl w:val="0"/>
          <w:numId w:val="0"/>
        </w:numPr>
        <w:spacing w:after="0"/>
        <w:rPr>
          <w:color w:val="auto"/>
          <w:shd w:val="clear" w:color="auto" w:fill="auto"/>
        </w:rPr>
      </w:pPr>
      <w:r w:rsidRPr="00222C42">
        <w:tab/>
      </w:r>
    </w:p>
    <w:p w:rsidR="00A4608F" w:rsidP="00A4608F" w14:paraId="1B85BA07" w14:textId="07F2BD8F">
      <w:pPr>
        <w:pStyle w:val="Heading1"/>
        <w:keepLines/>
        <w:numPr>
          <w:ilvl w:val="0"/>
          <w:numId w:val="0"/>
        </w:numPr>
        <w:spacing w:after="0"/>
        <w:ind w:firstLine="720"/>
        <w:rPr>
          <w:color w:val="auto"/>
          <w:shd w:val="clear" w:color="auto" w:fill="auto"/>
        </w:rPr>
      </w:pPr>
      <w:r w:rsidRPr="00A4608F">
        <w:rPr>
          <w:b w:val="0"/>
        </w:rPr>
        <w:t xml:space="preserve">I hereby certify that a true and correct copy of the foregoing was filed with the Commission through the Interchange on the Commission’s website in accordance with the Commission’s Second Order Suspending Rules issued on July 16, 2020, in Project No. 50664, on this </w:t>
      </w:r>
      <w:r>
        <w:rPr>
          <w:b w:val="0"/>
        </w:rPr>
        <w:t>28</w:t>
      </w:r>
      <w:r w:rsidRPr="00A4608F">
        <w:rPr>
          <w:b w:val="0"/>
          <w:vertAlign w:val="superscript"/>
        </w:rPr>
        <w:t>th</w:t>
      </w:r>
      <w:r>
        <w:rPr>
          <w:b w:val="0"/>
        </w:rPr>
        <w:t xml:space="preserve"> </w:t>
      </w:r>
      <w:r w:rsidRPr="00A4608F">
        <w:rPr>
          <w:b w:val="0"/>
        </w:rPr>
        <w:t xml:space="preserve">day of </w:t>
      </w:r>
      <w:r>
        <w:rPr>
          <w:b w:val="0"/>
        </w:rPr>
        <w:t>August</w:t>
      </w:r>
      <w:r w:rsidRPr="00A4608F">
        <w:rPr>
          <w:b w:val="0"/>
        </w:rPr>
        <w:t>, 2020</w:t>
      </w:r>
      <w:r>
        <w:t>.</w:t>
      </w:r>
    </w:p>
    <w:p w:rsidR="00592E0A" w:rsidP="00A4608F" w14:paraId="289C0656" w14:textId="77777777">
      <w:pPr>
        <w:widowControl w:val="0"/>
        <w:spacing w:after="0"/>
        <w:rPr>
          <w:rFonts w:ascii="Times New Roman" w:hAnsi="Times New Roman"/>
          <w:color w:val="auto"/>
          <w:sz w:val="24"/>
          <w:szCs w:val="24"/>
          <w:shd w:val="clear" w:color="auto" w:fill="auto"/>
        </w:rPr>
      </w:pPr>
      <w:bookmarkStart w:id="1" w:name="_GoBack"/>
      <w:bookmarkEnd w:id="1"/>
    </w:p>
    <w:p w:rsidR="00592E0A" w14:paraId="04ABD821" w14:textId="77777777">
      <w:pPr>
        <w:widowControl w:val="0"/>
        <w:spacing w:after="0" w:line="240" w:lineRule="auto"/>
        <w:rPr>
          <w:color w:val="auto"/>
          <w:shd w:val="clear" w:color="auto" w:fill="auto"/>
        </w:rPr>
      </w:pPr>
    </w:p>
    <w:p w:rsidR="00592E0A" w14:paraId="4F8F1705" w14:textId="77777777">
      <w:pPr>
        <w:widowControl w:val="0"/>
        <w:spacing w:after="0" w:line="240" w:lineRule="auto"/>
        <w:rPr>
          <w:color w:val="auto"/>
          <w:shd w:val="clear" w:color="auto" w:fill="auto"/>
        </w:rPr>
      </w:pPr>
    </w:p>
    <w:p w:rsidR="00125E4D" w14:paraId="438D7315" w14:textId="3838F573">
      <w:pPr>
        <w:widowControl w:val="0"/>
        <w:spacing w:after="0" w:line="240" w:lineRule="auto"/>
        <w:rPr>
          <w:color w:val="auto"/>
          <w:u w:val="single"/>
          <w:shd w:val="clear" w:color="auto" w:fill="auto"/>
        </w:rPr>
      </w:pPr>
      <w:r>
        <w:tab/>
      </w:r>
      <w:r>
        <w:tab/>
      </w:r>
      <w:r>
        <w:tab/>
      </w:r>
      <w:r>
        <w:tab/>
      </w:r>
      <w:r>
        <w:tab/>
      </w:r>
      <w:r>
        <w:tab/>
      </w:r>
      <w:r>
        <w:tab/>
      </w:r>
      <w:r>
        <w:rPr>
          <w:u w:val="single"/>
        </w:rPr>
        <w:tab/>
      </w:r>
      <w:r>
        <w:rPr>
          <w:u w:val="single"/>
        </w:rPr>
        <w:tab/>
      </w:r>
      <w:r>
        <w:rPr>
          <w:u w:val="single"/>
        </w:rPr>
        <w:tab/>
      </w:r>
      <w:r>
        <w:rPr>
          <w:u w:val="single"/>
        </w:rPr>
        <w:tab/>
      </w:r>
      <w:r>
        <w:rPr>
          <w:u w:val="single"/>
        </w:rPr>
        <w:tab/>
      </w:r>
    </w:p>
    <w:sectPr>
      <w:footerReference w:type="default" r:id="rI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63F35" w14:paraId="53990B3D" w14:textId="77777777">
    <w:pPr>
      <w:pStyle w:val="Footer"/>
      <w:jc w:val="center"/>
      <w:rPr>
        <w:rFonts w:ascii="Times New Roman" w:hAnsi="Times New Roman"/>
        <w:color w:val="auto"/>
        <w:sz w:val="24"/>
        <w:szCs w:val="24"/>
        <w:shd w:val="clear" w:color="auto" w:fill="auto"/>
      </w:rPr>
    </w:pPr>
    <w:r>
      <w:rPr>
        <w:rFonts w:ascii="Times New Roman" w:hAnsi="Times New Roman"/>
        <w:sz w:val="24"/>
        <w:szCs w:val="24"/>
      </w:rPr>
      <w:fldChar w:fldCharType="begin"/>
    </w:r>
    <w:r>
      <w:rPr>
        <w:rFonts w:ascii="Times New Roman" w:hAnsi="Times New Roman"/>
        <w:sz w:val="24"/>
        <w:szCs w:val="24"/>
      </w:rPr>
      <w:instrText xml:space="preserve"> PAGE   \* MERGEFORMAT </w:instrText>
    </w:r>
    <w:r>
      <w:rPr>
        <w:rFonts w:ascii="Times New Roman" w:hAnsi="Times New Roman"/>
        <w:sz w:val="24"/>
        <w:szCs w:val="24"/>
      </w:rPr>
      <w:fldChar w:fldCharType="separate"/>
    </w:r>
    <w:r w:rsidR="00EF7549">
      <w:rPr>
        <w:rFonts w:ascii="Times New Roman" w:hAnsi="Times New Roman"/>
        <w:noProof/>
        <w:sz w:val="24"/>
        <w:szCs w:val="24"/>
      </w:rPr>
      <w:t>5</w:t>
    </w:r>
    <w:r>
      <w:rPr>
        <w:rFonts w:ascii="Times New Roman" w:hAnsi="Times New Roman"/>
        <w:sz w:val="24"/>
        <w:szCs w:val="24"/>
      </w:rPr>
      <w:fldChar w:fldCharType="end"/>
    </w:r>
  </w:p>
  <w:p w:rsidR="00E63F35" w14:paraId="31510E75" w14:textId="77777777">
    <w:pPr>
      <w:pStyle w:val="Footer"/>
      <w:rPr>
        <w:color w:val="auto"/>
        <w:shd w:val="clear" w:color="auto" w:fill="auto"/>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1C5C7F"/>
    <w:multiLevelType w:val="hybridMultilevel"/>
    <w:tmpl w:val="BC626C1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02FD4889"/>
    <w:multiLevelType w:val="hybridMultilevel"/>
    <w:tmpl w:val="93F80998"/>
    <w:lvl w:ilvl="0">
      <w:start w:val="1"/>
      <w:numFmt w:val="upperRoman"/>
      <w:lvlText w:val="%1."/>
      <w:lvlJc w:val="left"/>
      <w:pPr>
        <w:ind w:left="1080" w:hanging="72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
    <w:nsid w:val="04C2490E"/>
    <w:multiLevelType w:val="hybridMultilevel"/>
    <w:tmpl w:val="BE3A6E4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5BF1B5B"/>
    <w:multiLevelType w:val="hybridMultilevel"/>
    <w:tmpl w:val="4A365456"/>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hint="default"/>
      </w:rPr>
    </w:lvl>
    <w:lvl w:ilvl="8" w:tentative="1">
      <w:start w:val="1"/>
      <w:numFmt w:val="bullet"/>
      <w:lvlText w:val=""/>
      <w:lvlJc w:val="left"/>
      <w:pPr>
        <w:ind w:left="7200" w:hanging="360"/>
      </w:pPr>
      <w:rPr>
        <w:rFonts w:ascii="Wingdings" w:hAnsi="Wingdings" w:hint="default"/>
      </w:rPr>
    </w:lvl>
  </w:abstractNum>
  <w:abstractNum w:abstractNumId="4">
    <w:nsid w:val="0A8C5291"/>
    <w:multiLevelType w:val="hybridMultilevel"/>
    <w:tmpl w:val="7F882B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1BC21050"/>
    <w:multiLevelType w:val="hybridMultilevel"/>
    <w:tmpl w:val="BD063BE2"/>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6">
    <w:nsid w:val="22CF0F9E"/>
    <w:multiLevelType w:val="hybridMultilevel"/>
    <w:tmpl w:val="00309FC8"/>
    <w:lvl w:ilvl="0">
      <w:start w:val="1"/>
      <w:numFmt w:val="low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7">
    <w:nsid w:val="22DD42BE"/>
    <w:multiLevelType w:val="hybridMultilevel"/>
    <w:tmpl w:val="4D2AA6EE"/>
    <w:lvl w:ilvl="0">
      <w:start w:val="1"/>
      <w:numFmt w:val="bullet"/>
      <w:lvlText w:val=""/>
      <w:lvlJc w:val="left"/>
      <w:pPr>
        <w:tabs>
          <w:tab w:val="num" w:pos="720"/>
        </w:tabs>
        <w:ind w:left="720" w:hanging="360"/>
      </w:pPr>
      <w:rPr>
        <w:rFonts w:ascii="Wingdings" w:hAnsi="Wingdings" w:hint="default"/>
      </w:rPr>
    </w:lvl>
    <w:lvl w:ilvl="1">
      <w:start w:val="568"/>
      <w:numFmt w:val="bullet"/>
      <w:lvlText w:val=""/>
      <w:lvlJc w:val="left"/>
      <w:pPr>
        <w:tabs>
          <w:tab w:val="num" w:pos="1440"/>
        </w:tabs>
        <w:ind w:left="144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Wingdings" w:hAnsi="Wingdings" w:hint="default"/>
      </w:rPr>
    </w:lvl>
    <w:lvl w:ilvl="4" w:tentative="1">
      <w:start w:val="1"/>
      <w:numFmt w:val="bullet"/>
      <w:lvlText w:val=""/>
      <w:lvlJc w:val="left"/>
      <w:pPr>
        <w:tabs>
          <w:tab w:val="num" w:pos="3600"/>
        </w:tabs>
        <w:ind w:left="3600" w:hanging="360"/>
      </w:pPr>
      <w:rPr>
        <w:rFonts w:ascii="Wingdings" w:hAnsi="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Wingdings" w:hAnsi="Wingdings" w:hint="default"/>
      </w:rPr>
    </w:lvl>
    <w:lvl w:ilvl="7" w:tentative="1">
      <w:start w:val="1"/>
      <w:numFmt w:val="bullet"/>
      <w:lvlText w:val=""/>
      <w:lvlJc w:val="left"/>
      <w:pPr>
        <w:tabs>
          <w:tab w:val="num" w:pos="5760"/>
        </w:tabs>
        <w:ind w:left="5760" w:hanging="360"/>
      </w:pPr>
      <w:rPr>
        <w:rFonts w:ascii="Wingdings" w:hAnsi="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291E1DF6"/>
    <w:multiLevelType w:val="hybridMultilevel"/>
    <w:tmpl w:val="4D4E4028"/>
    <w:lvl w:ilvl="0">
      <w:start w:val="1"/>
      <w:numFmt w:val="decimal"/>
      <w:lvlText w:val="%1."/>
      <w:lvlJc w:val="left"/>
      <w:pPr>
        <w:ind w:left="1080" w:hanging="72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9">
    <w:nsid w:val="29AF4700"/>
    <w:multiLevelType w:val="hybridMultilevel"/>
    <w:tmpl w:val="3D020348"/>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hint="default"/>
      </w:rPr>
    </w:lvl>
    <w:lvl w:ilvl="8" w:tentative="1">
      <w:start w:val="1"/>
      <w:numFmt w:val="bullet"/>
      <w:lvlText w:val=""/>
      <w:lvlJc w:val="left"/>
      <w:pPr>
        <w:ind w:left="7200" w:hanging="360"/>
      </w:pPr>
      <w:rPr>
        <w:rFonts w:ascii="Wingdings" w:hAnsi="Wingdings" w:hint="default"/>
      </w:rPr>
    </w:lvl>
  </w:abstractNum>
  <w:abstractNum w:abstractNumId="10">
    <w:nsid w:val="2A901B31"/>
    <w:multiLevelType w:val="hybridMultilevel"/>
    <w:tmpl w:val="93F80998"/>
    <w:lvl w:ilvl="0">
      <w:start w:val="1"/>
      <w:numFmt w:val="upperRoman"/>
      <w:lvlText w:val="%1."/>
      <w:lvlJc w:val="left"/>
      <w:pPr>
        <w:ind w:left="1080" w:hanging="72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1">
    <w:nsid w:val="2B034D04"/>
    <w:multiLevelType w:val="hybridMultilevel"/>
    <w:tmpl w:val="C2887BF6"/>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2">
    <w:nsid w:val="341677C2"/>
    <w:multiLevelType w:val="multilevel"/>
    <w:tmpl w:val="1218A9D0"/>
    <w:lvl w:ilvl="0">
      <w:start w:val="1"/>
      <w:numFmt w:val="upperRoman"/>
      <w:pStyle w:val="Heading1"/>
      <w:lvlText w:val="%1."/>
      <w:lvlJc w:val="left"/>
      <w:pPr>
        <w:tabs>
          <w:tab w:val="num" w:pos="720"/>
        </w:tabs>
        <w:ind w:left="720" w:hanging="720"/>
      </w:pPr>
      <w:rPr>
        <w:rFonts w:ascii="Times New Roman" w:hAnsi="Times New Roman" w:cs="Times New Roman" w:hint="default"/>
        <w:b/>
        <w:i w:val="0"/>
        <w:caps w:val="0"/>
        <w:strike w:val="0"/>
        <w:dstrike w:val="0"/>
        <w:vanish w:val="0"/>
        <w:color w:val="auto"/>
        <w:sz w:val="24"/>
        <w:u w:val="none"/>
        <w:vertAlign w:val="baseline"/>
      </w:rPr>
    </w:lvl>
    <w:lvl w:ilvl="1">
      <w:start w:val="1"/>
      <w:numFmt w:val="upperLetter"/>
      <w:pStyle w:val="Heading2"/>
      <w:lvlText w:val="%2."/>
      <w:lvlJc w:val="left"/>
      <w:pPr>
        <w:tabs>
          <w:tab w:val="num" w:pos="1440"/>
        </w:tabs>
        <w:ind w:left="1440" w:hanging="720"/>
      </w:pPr>
      <w:rPr>
        <w:rFonts w:ascii="Times New Roman" w:hAnsi="Times New Roman" w:cs="Times New Roman" w:hint="default"/>
        <w:b/>
        <w:i w:val="0"/>
        <w:caps w:val="0"/>
        <w:strike w:val="0"/>
        <w:dstrike w:val="0"/>
        <w:vanish w:val="0"/>
        <w:color w:val="auto"/>
        <w:sz w:val="24"/>
        <w:u w:val="none"/>
        <w:vertAlign w:val="baseline"/>
      </w:rPr>
    </w:lvl>
    <w:lvl w:ilvl="2">
      <w:start w:val="1"/>
      <w:numFmt w:val="decimal"/>
      <w:pStyle w:val="Heading3"/>
      <w:lvlText w:val="%3."/>
      <w:lvlJc w:val="left"/>
      <w:pPr>
        <w:tabs>
          <w:tab w:val="num" w:pos="2160"/>
        </w:tabs>
        <w:ind w:left="2160" w:hanging="720"/>
      </w:pPr>
      <w:rPr>
        <w:rFonts w:ascii="Times New Roman" w:hAnsi="Times New Roman" w:cs="Times New Roman" w:hint="default"/>
        <w:b/>
        <w:i w:val="0"/>
        <w:caps w:val="0"/>
        <w:strike w:val="0"/>
        <w:dstrike w:val="0"/>
        <w:vanish w:val="0"/>
        <w:color w:val="000000"/>
        <w:sz w:val="24"/>
        <w:vertAlign w:val="baseline"/>
      </w:rPr>
    </w:lvl>
    <w:lvl w:ilvl="3">
      <w:start w:val="1"/>
      <w:numFmt w:val="lowerLetter"/>
      <w:pStyle w:val="Heading4"/>
      <w:lvlText w:val="%4)"/>
      <w:lvlJc w:val="left"/>
      <w:pPr>
        <w:tabs>
          <w:tab w:val="num" w:pos="2520"/>
        </w:tabs>
        <w:ind w:left="2160"/>
      </w:pPr>
      <w:rPr>
        <w:rFonts w:cs="Times New Roman" w:hint="default"/>
      </w:rPr>
    </w:lvl>
    <w:lvl w:ilvl="4">
      <w:start w:val="1"/>
      <w:numFmt w:val="decimal"/>
      <w:pStyle w:val="Heading5"/>
      <w:lvlText w:val="(%5)"/>
      <w:lvlJc w:val="left"/>
      <w:pPr>
        <w:tabs>
          <w:tab w:val="num" w:pos="3240"/>
        </w:tabs>
        <w:ind w:left="2880"/>
      </w:pPr>
      <w:rPr>
        <w:rFonts w:cs="Times New Roman" w:hint="default"/>
      </w:rPr>
    </w:lvl>
    <w:lvl w:ilvl="5">
      <w:start w:val="1"/>
      <w:numFmt w:val="lowerLetter"/>
      <w:pStyle w:val="Heading6"/>
      <w:lvlText w:val="(%6)"/>
      <w:lvlJc w:val="left"/>
      <w:pPr>
        <w:tabs>
          <w:tab w:val="num" w:pos="3960"/>
        </w:tabs>
        <w:ind w:left="3600"/>
      </w:pPr>
      <w:rPr>
        <w:rFonts w:cs="Times New Roman" w:hint="default"/>
      </w:rPr>
    </w:lvl>
    <w:lvl w:ilvl="6">
      <w:start w:val="1"/>
      <w:numFmt w:val="lowerRoman"/>
      <w:pStyle w:val="Heading7"/>
      <w:lvlText w:val="(%7)"/>
      <w:lvlJc w:val="left"/>
      <w:pPr>
        <w:tabs>
          <w:tab w:val="num" w:pos="4680"/>
        </w:tabs>
        <w:ind w:left="4320"/>
      </w:pPr>
      <w:rPr>
        <w:rFonts w:cs="Times New Roman" w:hint="default"/>
      </w:rPr>
    </w:lvl>
    <w:lvl w:ilvl="7">
      <w:start w:val="1"/>
      <w:numFmt w:val="lowerLetter"/>
      <w:pStyle w:val="Heading8"/>
      <w:lvlText w:val="(%8)"/>
      <w:lvlJc w:val="left"/>
      <w:pPr>
        <w:tabs>
          <w:tab w:val="num" w:pos="5400"/>
        </w:tabs>
        <w:ind w:left="5040"/>
      </w:pPr>
      <w:rPr>
        <w:rFonts w:cs="Times New Roman" w:hint="default"/>
      </w:rPr>
    </w:lvl>
    <w:lvl w:ilvl="8">
      <w:start w:val="1"/>
      <w:numFmt w:val="lowerRoman"/>
      <w:pStyle w:val="Heading9"/>
      <w:lvlText w:val="(%9)"/>
      <w:lvlJc w:val="left"/>
      <w:pPr>
        <w:tabs>
          <w:tab w:val="num" w:pos="6120"/>
        </w:tabs>
        <w:ind w:left="5760"/>
      </w:pPr>
      <w:rPr>
        <w:rFonts w:cs="Times New Roman" w:hint="default"/>
      </w:rPr>
    </w:lvl>
  </w:abstractNum>
  <w:abstractNum w:abstractNumId="13">
    <w:nsid w:val="3A7727F9"/>
    <w:multiLevelType w:val="hybridMultilevel"/>
    <w:tmpl w:val="A31E5540"/>
    <w:lvl w:ilvl="0">
      <w:start w:val="1"/>
      <w:numFmt w:val="upp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4">
    <w:nsid w:val="3C030150"/>
    <w:multiLevelType w:val="hybridMultilevel"/>
    <w:tmpl w:val="FDCE7BDA"/>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hint="default"/>
      </w:rPr>
    </w:lvl>
    <w:lvl w:ilvl="8" w:tentative="1">
      <w:start w:val="1"/>
      <w:numFmt w:val="bullet"/>
      <w:lvlText w:val=""/>
      <w:lvlJc w:val="left"/>
      <w:pPr>
        <w:ind w:left="7200" w:hanging="360"/>
      </w:pPr>
      <w:rPr>
        <w:rFonts w:ascii="Wingdings" w:hAnsi="Wingdings" w:hint="default"/>
      </w:rPr>
    </w:lvl>
  </w:abstractNum>
  <w:abstractNum w:abstractNumId="15">
    <w:nsid w:val="3E9638B0"/>
    <w:multiLevelType w:val="hybridMultilevel"/>
    <w:tmpl w:val="30382EF2"/>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6">
    <w:nsid w:val="42F912C4"/>
    <w:multiLevelType w:val="hybridMultilevel"/>
    <w:tmpl w:val="93F80998"/>
    <w:lvl w:ilvl="0">
      <w:start w:val="1"/>
      <w:numFmt w:val="upperRoman"/>
      <w:lvlText w:val="%1."/>
      <w:lvlJc w:val="left"/>
      <w:pPr>
        <w:ind w:left="1080" w:hanging="72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7">
    <w:nsid w:val="435856EA"/>
    <w:multiLevelType w:val="hybridMultilevel"/>
    <w:tmpl w:val="1020064E"/>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hint="default"/>
      </w:rPr>
    </w:lvl>
    <w:lvl w:ilvl="8" w:tentative="1">
      <w:start w:val="1"/>
      <w:numFmt w:val="bullet"/>
      <w:lvlText w:val=""/>
      <w:lvlJc w:val="left"/>
      <w:pPr>
        <w:ind w:left="7200" w:hanging="360"/>
      </w:pPr>
      <w:rPr>
        <w:rFonts w:ascii="Wingdings" w:hAnsi="Wingdings" w:hint="default"/>
      </w:rPr>
    </w:lvl>
  </w:abstractNum>
  <w:abstractNum w:abstractNumId="18">
    <w:nsid w:val="445123E5"/>
    <w:multiLevelType w:val="hybridMultilevel"/>
    <w:tmpl w:val="1B9440B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445775AF"/>
    <w:multiLevelType w:val="hybridMultilevel"/>
    <w:tmpl w:val="6286242A"/>
    <w:lvl w:ilvl="0">
      <w:start w:val="1"/>
      <w:numFmt w:val="low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0">
    <w:nsid w:val="44AE0606"/>
    <w:multiLevelType w:val="hybridMultilevel"/>
    <w:tmpl w:val="44E2235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nsid w:val="46904D2C"/>
    <w:multiLevelType w:val="hybridMultilevel"/>
    <w:tmpl w:val="B7CCA988"/>
    <w:lvl w:ilvl="0">
      <w:start w:val="1"/>
      <w:numFmt w:val="low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527E6CED"/>
    <w:multiLevelType w:val="hybridMultilevel"/>
    <w:tmpl w:val="16621132"/>
    <w:lvl w:ilvl="0">
      <w:start w:val="10"/>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3">
    <w:nsid w:val="542D13FB"/>
    <w:multiLevelType w:val="hybridMultilevel"/>
    <w:tmpl w:val="9B5CC102"/>
    <w:lvl w:ilvl="0">
      <w:start w:val="1"/>
      <w:numFmt w:val="upperRoman"/>
      <w:lvlText w:val="%1."/>
      <w:lvlJc w:val="left"/>
      <w:pPr>
        <w:ind w:left="1440" w:hanging="720"/>
      </w:pPr>
      <w:rPr>
        <w:rFonts w:cs="Times New Roman" w:hint="default"/>
      </w:rPr>
    </w:lvl>
    <w:lvl w:ilvl="1" w:tentative="1">
      <w:start w:val="1"/>
      <w:numFmt w:val="lowerLetter"/>
      <w:lvlText w:val="%2."/>
      <w:lvlJc w:val="left"/>
      <w:pPr>
        <w:ind w:left="1800" w:hanging="360"/>
      </w:pPr>
      <w:rPr>
        <w:rFonts w:cs="Times New Roman"/>
      </w:rPr>
    </w:lvl>
    <w:lvl w:ilvl="2" w:tentative="1">
      <w:start w:val="1"/>
      <w:numFmt w:val="lowerRoman"/>
      <w:lvlText w:val="%3."/>
      <w:lvlJc w:val="right"/>
      <w:pPr>
        <w:ind w:left="2520" w:hanging="180"/>
      </w:pPr>
      <w:rPr>
        <w:rFonts w:cs="Times New Roman"/>
      </w:rPr>
    </w:lvl>
    <w:lvl w:ilvl="3" w:tentative="1">
      <w:start w:val="1"/>
      <w:numFmt w:val="decimal"/>
      <w:lvlText w:val="%4."/>
      <w:lvlJc w:val="left"/>
      <w:pPr>
        <w:ind w:left="3240" w:hanging="360"/>
      </w:pPr>
      <w:rPr>
        <w:rFonts w:cs="Times New Roman"/>
      </w:rPr>
    </w:lvl>
    <w:lvl w:ilvl="4" w:tentative="1">
      <w:start w:val="1"/>
      <w:numFmt w:val="lowerLetter"/>
      <w:lvlText w:val="%5."/>
      <w:lvlJc w:val="left"/>
      <w:pPr>
        <w:ind w:left="3960" w:hanging="360"/>
      </w:pPr>
      <w:rPr>
        <w:rFonts w:cs="Times New Roman"/>
      </w:rPr>
    </w:lvl>
    <w:lvl w:ilvl="5" w:tentative="1">
      <w:start w:val="1"/>
      <w:numFmt w:val="lowerRoman"/>
      <w:lvlText w:val="%6."/>
      <w:lvlJc w:val="right"/>
      <w:pPr>
        <w:ind w:left="4680" w:hanging="180"/>
      </w:pPr>
      <w:rPr>
        <w:rFonts w:cs="Times New Roman"/>
      </w:rPr>
    </w:lvl>
    <w:lvl w:ilvl="6" w:tentative="1">
      <w:start w:val="1"/>
      <w:numFmt w:val="decimal"/>
      <w:lvlText w:val="%7."/>
      <w:lvlJc w:val="left"/>
      <w:pPr>
        <w:ind w:left="5400" w:hanging="360"/>
      </w:pPr>
      <w:rPr>
        <w:rFonts w:cs="Times New Roman"/>
      </w:rPr>
    </w:lvl>
    <w:lvl w:ilvl="7" w:tentative="1">
      <w:start w:val="1"/>
      <w:numFmt w:val="lowerLetter"/>
      <w:lvlText w:val="%8."/>
      <w:lvlJc w:val="left"/>
      <w:pPr>
        <w:ind w:left="6120" w:hanging="360"/>
      </w:pPr>
      <w:rPr>
        <w:rFonts w:cs="Times New Roman"/>
      </w:rPr>
    </w:lvl>
    <w:lvl w:ilvl="8" w:tentative="1">
      <w:start w:val="1"/>
      <w:numFmt w:val="lowerRoman"/>
      <w:lvlText w:val="%9."/>
      <w:lvlJc w:val="right"/>
      <w:pPr>
        <w:ind w:left="6840" w:hanging="180"/>
      </w:pPr>
      <w:rPr>
        <w:rFonts w:cs="Times New Roman"/>
      </w:rPr>
    </w:lvl>
  </w:abstractNum>
  <w:abstractNum w:abstractNumId="24">
    <w:nsid w:val="57C867A2"/>
    <w:multiLevelType w:val="hybridMultilevel"/>
    <w:tmpl w:val="EC3C5010"/>
    <w:lvl w:ilvl="0">
      <w:start w:val="8"/>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5">
    <w:nsid w:val="59ED2442"/>
    <w:multiLevelType w:val="hybridMultilevel"/>
    <w:tmpl w:val="60D665C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26">
    <w:nsid w:val="5C283844"/>
    <w:multiLevelType w:val="hybridMultilevel"/>
    <w:tmpl w:val="ABC652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nsid w:val="5C6853B3"/>
    <w:multiLevelType w:val="hybridMultilevel"/>
    <w:tmpl w:val="D37E429E"/>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8">
    <w:nsid w:val="60741CA9"/>
    <w:multiLevelType w:val="hybridMultilevel"/>
    <w:tmpl w:val="1B56F7F2"/>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60D929FB"/>
    <w:multiLevelType w:val="hybridMultilevel"/>
    <w:tmpl w:val="81FAE772"/>
    <w:lvl w:ilvl="0">
      <w:start w:val="10"/>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nsid w:val="612105FE"/>
    <w:multiLevelType w:val="hybridMultilevel"/>
    <w:tmpl w:val="487E5B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nsid w:val="71CF6B76"/>
    <w:multiLevelType w:val="hybridMultilevel"/>
    <w:tmpl w:val="52D64A18"/>
    <w:lvl w:ilvl="0">
      <w:start w:val="1"/>
      <w:numFmt w:val="lowerLetter"/>
      <w:lvlText w:val="(%1)"/>
      <w:lvlJc w:val="left"/>
      <w:pPr>
        <w:ind w:left="1095" w:hanging="375"/>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2">
    <w:nsid w:val="75D712FC"/>
    <w:multiLevelType w:val="hybridMultilevel"/>
    <w:tmpl w:val="9560ED68"/>
    <w:lvl w:ilvl="0">
      <w:start w:val="1"/>
      <w:numFmt w:val="upperRoman"/>
      <w:lvlText w:val="%1."/>
      <w:lvlJc w:val="left"/>
      <w:pPr>
        <w:ind w:left="1080" w:hanging="72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3">
    <w:nsid w:val="76520348"/>
    <w:multiLevelType w:val="hybridMultilevel"/>
    <w:tmpl w:val="6576FCE2"/>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4">
    <w:nsid w:val="79CD7D96"/>
    <w:multiLevelType w:val="hybridMultilevel"/>
    <w:tmpl w:val="6C36B542"/>
    <w:lvl w:ilvl="0">
      <w:start w:val="1"/>
      <w:numFmt w:val="bullet"/>
      <w:lvlText w:val="–"/>
      <w:lvlJc w:val="left"/>
      <w:pPr>
        <w:tabs>
          <w:tab w:val="num" w:pos="720"/>
        </w:tabs>
        <w:ind w:left="720" w:hanging="360"/>
      </w:pPr>
      <w:rPr>
        <w:rFonts w:ascii="Times New Roman" w:hAnsi="Times New Roman" w:hint="default"/>
      </w:rPr>
    </w:lvl>
    <w:lvl w:ilvl="1">
      <w:start w:val="1"/>
      <w:numFmt w:val="bullet"/>
      <w:lvlText w:val="–"/>
      <w:lvlJc w:val="left"/>
      <w:pPr>
        <w:tabs>
          <w:tab w:val="num" w:pos="1440"/>
        </w:tabs>
        <w:ind w:left="1440" w:hanging="360"/>
      </w:pPr>
      <w:rPr>
        <w:rFonts w:ascii="Times New Roman" w:hAnsi="Times New Roman" w:hint="default"/>
      </w:rPr>
    </w:lvl>
    <w:lvl w:ilvl="2" w:tentative="1">
      <w:start w:val="1"/>
      <w:numFmt w:val="bullet"/>
      <w:lvlText w:val="–"/>
      <w:lvlJc w:val="left"/>
      <w:pPr>
        <w:tabs>
          <w:tab w:val="num" w:pos="2160"/>
        </w:tabs>
        <w:ind w:left="2160" w:hanging="360"/>
      </w:pPr>
      <w:rPr>
        <w:rFonts w:ascii="Times New Roman" w:hAnsi="Times New Roman" w:hint="default"/>
      </w:rPr>
    </w:lvl>
    <w:lvl w:ilvl="3" w:tentative="1">
      <w:start w:val="1"/>
      <w:numFmt w:val="bullet"/>
      <w:lvlText w:val="–"/>
      <w:lvlJc w:val="left"/>
      <w:pPr>
        <w:tabs>
          <w:tab w:val="num" w:pos="2880"/>
        </w:tabs>
        <w:ind w:left="2880" w:hanging="360"/>
      </w:pPr>
      <w:rPr>
        <w:rFonts w:ascii="Times New Roman" w:hAnsi="Times New Roman" w:hint="default"/>
      </w:rPr>
    </w:lvl>
    <w:lvl w:ilvl="4" w:tentative="1">
      <w:start w:val="1"/>
      <w:numFmt w:val="bullet"/>
      <w:lvlText w:val="–"/>
      <w:lvlJc w:val="left"/>
      <w:pPr>
        <w:tabs>
          <w:tab w:val="num" w:pos="3600"/>
        </w:tabs>
        <w:ind w:left="3600" w:hanging="360"/>
      </w:pPr>
      <w:rPr>
        <w:rFonts w:ascii="Times New Roman" w:hAnsi="Times New Roman" w:hint="default"/>
      </w:rPr>
    </w:lvl>
    <w:lvl w:ilvl="5" w:tentative="1">
      <w:start w:val="1"/>
      <w:numFmt w:val="bullet"/>
      <w:lvlText w:val="–"/>
      <w:lvlJc w:val="left"/>
      <w:pPr>
        <w:tabs>
          <w:tab w:val="num" w:pos="4320"/>
        </w:tabs>
        <w:ind w:left="4320" w:hanging="360"/>
      </w:pPr>
      <w:rPr>
        <w:rFonts w:ascii="Times New Roman" w:hAnsi="Times New Roman" w:hint="default"/>
      </w:rPr>
    </w:lvl>
    <w:lvl w:ilvl="6" w:tentative="1">
      <w:start w:val="1"/>
      <w:numFmt w:val="bullet"/>
      <w:lvlText w:val="–"/>
      <w:lvlJc w:val="left"/>
      <w:pPr>
        <w:tabs>
          <w:tab w:val="num" w:pos="5040"/>
        </w:tabs>
        <w:ind w:left="5040" w:hanging="360"/>
      </w:pPr>
      <w:rPr>
        <w:rFonts w:ascii="Times New Roman" w:hAnsi="Times New Roman" w:hint="default"/>
      </w:rPr>
    </w:lvl>
    <w:lvl w:ilvl="7" w:tentative="1">
      <w:start w:val="1"/>
      <w:numFmt w:val="bullet"/>
      <w:lvlText w:val="–"/>
      <w:lvlJc w:val="left"/>
      <w:pPr>
        <w:tabs>
          <w:tab w:val="num" w:pos="5760"/>
        </w:tabs>
        <w:ind w:left="5760" w:hanging="360"/>
      </w:pPr>
      <w:rPr>
        <w:rFonts w:ascii="Times New Roman" w:hAnsi="Times New Roman" w:hint="default"/>
      </w:rPr>
    </w:lvl>
    <w:lvl w:ilvl="8" w:tentative="1">
      <w:start w:val="1"/>
      <w:numFmt w:val="bullet"/>
      <w:lvlText w:val="–"/>
      <w:lvlJc w:val="left"/>
      <w:pPr>
        <w:tabs>
          <w:tab w:val="num" w:pos="6480"/>
        </w:tabs>
        <w:ind w:left="6480" w:hanging="360"/>
      </w:pPr>
      <w:rPr>
        <w:rFonts w:ascii="Times New Roman" w:hAnsi="Times New Roman" w:hint="default"/>
      </w:rPr>
    </w:lvl>
  </w:abstractNum>
  <w:abstractNum w:abstractNumId="35">
    <w:nsid w:val="7E717F20"/>
    <w:multiLevelType w:val="hybridMultilevel"/>
    <w:tmpl w:val="1B9440B2"/>
    <w:lvl w:ilvl="0">
      <w:start w:val="1"/>
      <w:numFmt w:val="decimal"/>
      <w:lvlText w:val="%1."/>
      <w:lvlJc w:val="left"/>
      <w:pPr>
        <w:ind w:left="1440" w:hanging="36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6">
    <w:nsid w:val="7EA66876"/>
    <w:multiLevelType w:val="hybridMultilevel"/>
    <w:tmpl w:val="0352BCD2"/>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5"/>
  </w:num>
  <w:num w:numId="2">
    <w:abstractNumId w:val="33"/>
  </w:num>
  <w:num w:numId="3">
    <w:abstractNumId w:val="7"/>
  </w:num>
  <w:num w:numId="4">
    <w:abstractNumId w:val="34"/>
  </w:num>
  <w:num w:numId="5">
    <w:abstractNumId w:val="32"/>
  </w:num>
  <w:num w:numId="6">
    <w:abstractNumId w:val="9"/>
  </w:num>
  <w:num w:numId="7">
    <w:abstractNumId w:val="17"/>
  </w:num>
  <w:num w:numId="8">
    <w:abstractNumId w:val="12"/>
  </w:num>
  <w:num w:numId="9">
    <w:abstractNumId w:val="25"/>
  </w:num>
  <w:num w:numId="10">
    <w:abstractNumId w:val="11"/>
  </w:num>
  <w:num w:numId="11">
    <w:abstractNumId w:val="27"/>
  </w:num>
  <w:num w:numId="12">
    <w:abstractNumId w:val="15"/>
  </w:num>
  <w:num w:numId="13">
    <w:abstractNumId w:val="14"/>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3"/>
  </w:num>
  <w:num w:numId="17">
    <w:abstractNumId w:val="1"/>
  </w:num>
  <w:num w:numId="18">
    <w:abstractNumId w:val="16"/>
  </w:num>
  <w:num w:numId="19">
    <w:abstractNumId w:val="3"/>
  </w:num>
  <w:num w:numId="20">
    <w:abstractNumId w:val="10"/>
  </w:num>
  <w:num w:numId="21">
    <w:abstractNumId w:val="8"/>
  </w:num>
  <w:num w:numId="22">
    <w:abstractNumId w:val="23"/>
  </w:num>
  <w:num w:numId="23">
    <w:abstractNumId w:val="22"/>
  </w:num>
  <w:num w:numId="24">
    <w:abstractNumId w:val="29"/>
  </w:num>
  <w:num w:numId="25">
    <w:abstractNumId w:val="36"/>
  </w:num>
  <w:num w:numId="26">
    <w:abstractNumId w:val="21"/>
  </w:num>
  <w:num w:numId="27">
    <w:abstractNumId w:val="31"/>
  </w:num>
  <w:num w:numId="28">
    <w:abstractNumId w:val="6"/>
  </w:num>
  <w:num w:numId="29">
    <w:abstractNumId w:val="19"/>
  </w:num>
  <w:num w:numId="30">
    <w:abstractNumId w:val="28"/>
  </w:num>
  <w:num w:numId="31">
    <w:abstractNumId w:val="0"/>
  </w:num>
  <w:num w:numId="32">
    <w:abstractNumId w:val="18"/>
  </w:num>
  <w:num w:numId="33">
    <w:abstractNumId w:val="35"/>
  </w:num>
  <w:num w:numId="34">
    <w:abstractNumId w:val="30"/>
  </w:num>
  <w:num w:numId="35">
    <w:abstractNumId w:val="4"/>
  </w:num>
  <w:num w:numId="36">
    <w:abstractNumId w:val="24"/>
  </w:num>
  <w:num w:numId="3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Tenorio, Stephanie">
    <w15:presenceInfo w15:providerId="AD" w15:userId="S-1-5-21-301216946-3585490412-299853924-126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fullPage" w:percent="75"/>
  <w:proofState w:spelling="clean" w:grammar="clean"/>
  <w:revisionView w:comments="1" w:formatting="1" w:inkAnnotations="1" w:insDel="1" w:markup="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234"/>
    <w:rsid w:val="000061DF"/>
    <w:rsid w:val="00006A90"/>
    <w:rsid w:val="00010940"/>
    <w:rsid w:val="00014B7B"/>
    <w:rsid w:val="00040799"/>
    <w:rsid w:val="000524BD"/>
    <w:rsid w:val="000551E4"/>
    <w:rsid w:val="00056D43"/>
    <w:rsid w:val="00066008"/>
    <w:rsid w:val="00066238"/>
    <w:rsid w:val="0006730C"/>
    <w:rsid w:val="000816A0"/>
    <w:rsid w:val="00092256"/>
    <w:rsid w:val="000929C1"/>
    <w:rsid w:val="00097E06"/>
    <w:rsid w:val="000A2FEA"/>
    <w:rsid w:val="000A6730"/>
    <w:rsid w:val="000A6EF3"/>
    <w:rsid w:val="000B2996"/>
    <w:rsid w:val="000B2F5F"/>
    <w:rsid w:val="000B5975"/>
    <w:rsid w:val="000C1B76"/>
    <w:rsid w:val="000C3CA3"/>
    <w:rsid w:val="000D0F89"/>
    <w:rsid w:val="000E0E72"/>
    <w:rsid w:val="000E219D"/>
    <w:rsid w:val="000E580E"/>
    <w:rsid w:val="000F0879"/>
    <w:rsid w:val="000F5483"/>
    <w:rsid w:val="001026BC"/>
    <w:rsid w:val="00110114"/>
    <w:rsid w:val="00114325"/>
    <w:rsid w:val="00121BA2"/>
    <w:rsid w:val="0012545B"/>
    <w:rsid w:val="00125E4D"/>
    <w:rsid w:val="00131C0E"/>
    <w:rsid w:val="00132558"/>
    <w:rsid w:val="00145C98"/>
    <w:rsid w:val="0014763A"/>
    <w:rsid w:val="00147F66"/>
    <w:rsid w:val="00160142"/>
    <w:rsid w:val="00162871"/>
    <w:rsid w:val="001765EC"/>
    <w:rsid w:val="001833F4"/>
    <w:rsid w:val="00193B83"/>
    <w:rsid w:val="00194ED8"/>
    <w:rsid w:val="001B1EF2"/>
    <w:rsid w:val="001C3D82"/>
    <w:rsid w:val="001C6872"/>
    <w:rsid w:val="001D0ACA"/>
    <w:rsid w:val="001D4112"/>
    <w:rsid w:val="001E0E14"/>
    <w:rsid w:val="001E1183"/>
    <w:rsid w:val="001E2497"/>
    <w:rsid w:val="001E2B26"/>
    <w:rsid w:val="001E3602"/>
    <w:rsid w:val="001F12F5"/>
    <w:rsid w:val="001F640E"/>
    <w:rsid w:val="00204B6C"/>
    <w:rsid w:val="00211979"/>
    <w:rsid w:val="0022291A"/>
    <w:rsid w:val="00222C42"/>
    <w:rsid w:val="00223B58"/>
    <w:rsid w:val="00226286"/>
    <w:rsid w:val="0023002E"/>
    <w:rsid w:val="00235779"/>
    <w:rsid w:val="002413B6"/>
    <w:rsid w:val="00242788"/>
    <w:rsid w:val="0025075D"/>
    <w:rsid w:val="00253F7C"/>
    <w:rsid w:val="00257A25"/>
    <w:rsid w:val="00266DC9"/>
    <w:rsid w:val="00276B0B"/>
    <w:rsid w:val="00277291"/>
    <w:rsid w:val="0028509A"/>
    <w:rsid w:val="0028591C"/>
    <w:rsid w:val="00285E75"/>
    <w:rsid w:val="00297514"/>
    <w:rsid w:val="002A02FE"/>
    <w:rsid w:val="002A0C6B"/>
    <w:rsid w:val="002A6BE9"/>
    <w:rsid w:val="002C01EE"/>
    <w:rsid w:val="002D545C"/>
    <w:rsid w:val="002E2C8B"/>
    <w:rsid w:val="002E5C03"/>
    <w:rsid w:val="002F131F"/>
    <w:rsid w:val="002F5836"/>
    <w:rsid w:val="003079AB"/>
    <w:rsid w:val="00310900"/>
    <w:rsid w:val="003139FA"/>
    <w:rsid w:val="00332BD2"/>
    <w:rsid w:val="00334194"/>
    <w:rsid w:val="0034328D"/>
    <w:rsid w:val="00346205"/>
    <w:rsid w:val="0035025D"/>
    <w:rsid w:val="00364E5A"/>
    <w:rsid w:val="00371E2C"/>
    <w:rsid w:val="0038514F"/>
    <w:rsid w:val="00386B7E"/>
    <w:rsid w:val="003A751F"/>
    <w:rsid w:val="003C577F"/>
    <w:rsid w:val="003C7A2E"/>
    <w:rsid w:val="003D1DA9"/>
    <w:rsid w:val="003D2D1C"/>
    <w:rsid w:val="003D54B3"/>
    <w:rsid w:val="003D738B"/>
    <w:rsid w:val="003E24FD"/>
    <w:rsid w:val="003E320F"/>
    <w:rsid w:val="003F2031"/>
    <w:rsid w:val="00403750"/>
    <w:rsid w:val="00413860"/>
    <w:rsid w:val="00420EF7"/>
    <w:rsid w:val="00421F02"/>
    <w:rsid w:val="00426AAD"/>
    <w:rsid w:val="00434F93"/>
    <w:rsid w:val="0044144F"/>
    <w:rsid w:val="00460AC8"/>
    <w:rsid w:val="00462732"/>
    <w:rsid w:val="00470FD7"/>
    <w:rsid w:val="00471598"/>
    <w:rsid w:val="00480640"/>
    <w:rsid w:val="00487CF4"/>
    <w:rsid w:val="00490BAF"/>
    <w:rsid w:val="004970F2"/>
    <w:rsid w:val="004B414A"/>
    <w:rsid w:val="004B5B6C"/>
    <w:rsid w:val="004C09D1"/>
    <w:rsid w:val="004D0026"/>
    <w:rsid w:val="004D0FF1"/>
    <w:rsid w:val="004D1374"/>
    <w:rsid w:val="004D1965"/>
    <w:rsid w:val="004D3ECB"/>
    <w:rsid w:val="004F52F0"/>
    <w:rsid w:val="004F6005"/>
    <w:rsid w:val="004F68C0"/>
    <w:rsid w:val="00502D5A"/>
    <w:rsid w:val="00505489"/>
    <w:rsid w:val="00506E44"/>
    <w:rsid w:val="00510FFF"/>
    <w:rsid w:val="00515B23"/>
    <w:rsid w:val="005242E6"/>
    <w:rsid w:val="00525F1F"/>
    <w:rsid w:val="00545717"/>
    <w:rsid w:val="005529FF"/>
    <w:rsid w:val="005621F3"/>
    <w:rsid w:val="00564A20"/>
    <w:rsid w:val="00564D18"/>
    <w:rsid w:val="00576666"/>
    <w:rsid w:val="00576B04"/>
    <w:rsid w:val="005818E0"/>
    <w:rsid w:val="0058430B"/>
    <w:rsid w:val="00592E0A"/>
    <w:rsid w:val="005A3919"/>
    <w:rsid w:val="005A75DC"/>
    <w:rsid w:val="005A7771"/>
    <w:rsid w:val="005B608B"/>
    <w:rsid w:val="005C0B9C"/>
    <w:rsid w:val="005C1EB8"/>
    <w:rsid w:val="005C7153"/>
    <w:rsid w:val="005E1C25"/>
    <w:rsid w:val="005E5D44"/>
    <w:rsid w:val="005E6936"/>
    <w:rsid w:val="005F24A2"/>
    <w:rsid w:val="00602463"/>
    <w:rsid w:val="00606AB7"/>
    <w:rsid w:val="00607C36"/>
    <w:rsid w:val="006222BD"/>
    <w:rsid w:val="00624BDA"/>
    <w:rsid w:val="006264F2"/>
    <w:rsid w:val="00630C8A"/>
    <w:rsid w:val="00632A73"/>
    <w:rsid w:val="00634C2F"/>
    <w:rsid w:val="0064534C"/>
    <w:rsid w:val="00650830"/>
    <w:rsid w:val="00665587"/>
    <w:rsid w:val="00682CFE"/>
    <w:rsid w:val="0069449C"/>
    <w:rsid w:val="006950F3"/>
    <w:rsid w:val="006A48D5"/>
    <w:rsid w:val="006B4B49"/>
    <w:rsid w:val="006B534B"/>
    <w:rsid w:val="006D03F9"/>
    <w:rsid w:val="006D12C2"/>
    <w:rsid w:val="006D3A7E"/>
    <w:rsid w:val="006D56E8"/>
    <w:rsid w:val="00704DA7"/>
    <w:rsid w:val="00704E58"/>
    <w:rsid w:val="0071075A"/>
    <w:rsid w:val="00723EC0"/>
    <w:rsid w:val="00725F81"/>
    <w:rsid w:val="00741728"/>
    <w:rsid w:val="00742722"/>
    <w:rsid w:val="007460BC"/>
    <w:rsid w:val="00763A0C"/>
    <w:rsid w:val="00765C8F"/>
    <w:rsid w:val="007677D4"/>
    <w:rsid w:val="00772AE8"/>
    <w:rsid w:val="007801AB"/>
    <w:rsid w:val="00781D79"/>
    <w:rsid w:val="0078416B"/>
    <w:rsid w:val="00784A03"/>
    <w:rsid w:val="007933D0"/>
    <w:rsid w:val="00794833"/>
    <w:rsid w:val="00797408"/>
    <w:rsid w:val="007A1AE5"/>
    <w:rsid w:val="007A5720"/>
    <w:rsid w:val="007A6695"/>
    <w:rsid w:val="007C0D9F"/>
    <w:rsid w:val="007D7E06"/>
    <w:rsid w:val="007F3155"/>
    <w:rsid w:val="007F3A26"/>
    <w:rsid w:val="007F4B6D"/>
    <w:rsid w:val="00810CBE"/>
    <w:rsid w:val="0081434E"/>
    <w:rsid w:val="00820240"/>
    <w:rsid w:val="0084165C"/>
    <w:rsid w:val="00845337"/>
    <w:rsid w:val="00872936"/>
    <w:rsid w:val="008953E6"/>
    <w:rsid w:val="008A01BE"/>
    <w:rsid w:val="008B0BE0"/>
    <w:rsid w:val="008C6F28"/>
    <w:rsid w:val="008D17DF"/>
    <w:rsid w:val="009032BE"/>
    <w:rsid w:val="0090516E"/>
    <w:rsid w:val="00913382"/>
    <w:rsid w:val="00913E8F"/>
    <w:rsid w:val="00921DAD"/>
    <w:rsid w:val="009319B8"/>
    <w:rsid w:val="0094589C"/>
    <w:rsid w:val="00964B30"/>
    <w:rsid w:val="00974265"/>
    <w:rsid w:val="0098395C"/>
    <w:rsid w:val="00990217"/>
    <w:rsid w:val="00990B9D"/>
    <w:rsid w:val="00997BD7"/>
    <w:rsid w:val="009A0D6F"/>
    <w:rsid w:val="009A7A06"/>
    <w:rsid w:val="009C4906"/>
    <w:rsid w:val="009D7C36"/>
    <w:rsid w:val="009E3810"/>
    <w:rsid w:val="009E5366"/>
    <w:rsid w:val="00A00662"/>
    <w:rsid w:val="00A07E38"/>
    <w:rsid w:val="00A202CC"/>
    <w:rsid w:val="00A25BD6"/>
    <w:rsid w:val="00A26751"/>
    <w:rsid w:val="00A32CD7"/>
    <w:rsid w:val="00A4608F"/>
    <w:rsid w:val="00A656BB"/>
    <w:rsid w:val="00A75733"/>
    <w:rsid w:val="00A86C53"/>
    <w:rsid w:val="00A87B6C"/>
    <w:rsid w:val="00A93394"/>
    <w:rsid w:val="00A93AC9"/>
    <w:rsid w:val="00AA5575"/>
    <w:rsid w:val="00AB6F1C"/>
    <w:rsid w:val="00AC1F55"/>
    <w:rsid w:val="00AC3D50"/>
    <w:rsid w:val="00AD0187"/>
    <w:rsid w:val="00AD3488"/>
    <w:rsid w:val="00AD6444"/>
    <w:rsid w:val="00AD799A"/>
    <w:rsid w:val="00AE132F"/>
    <w:rsid w:val="00AE6A47"/>
    <w:rsid w:val="00AF0DE1"/>
    <w:rsid w:val="00AF1638"/>
    <w:rsid w:val="00AF2DA1"/>
    <w:rsid w:val="00B056DC"/>
    <w:rsid w:val="00B130F8"/>
    <w:rsid w:val="00B14AC6"/>
    <w:rsid w:val="00B2136B"/>
    <w:rsid w:val="00B303F9"/>
    <w:rsid w:val="00B31EB6"/>
    <w:rsid w:val="00B33061"/>
    <w:rsid w:val="00B35A3C"/>
    <w:rsid w:val="00B467D3"/>
    <w:rsid w:val="00B51A85"/>
    <w:rsid w:val="00B52F70"/>
    <w:rsid w:val="00B655B1"/>
    <w:rsid w:val="00B66B0E"/>
    <w:rsid w:val="00B75CD8"/>
    <w:rsid w:val="00B82487"/>
    <w:rsid w:val="00B82ACC"/>
    <w:rsid w:val="00B835AC"/>
    <w:rsid w:val="00B85A58"/>
    <w:rsid w:val="00B93EDC"/>
    <w:rsid w:val="00B93F23"/>
    <w:rsid w:val="00BA47A6"/>
    <w:rsid w:val="00BC03B2"/>
    <w:rsid w:val="00C04A1F"/>
    <w:rsid w:val="00C05647"/>
    <w:rsid w:val="00C11EE0"/>
    <w:rsid w:val="00C13DC9"/>
    <w:rsid w:val="00C22486"/>
    <w:rsid w:val="00C263FD"/>
    <w:rsid w:val="00C27B37"/>
    <w:rsid w:val="00C30DE5"/>
    <w:rsid w:val="00C426CA"/>
    <w:rsid w:val="00C45004"/>
    <w:rsid w:val="00C5113C"/>
    <w:rsid w:val="00C5694A"/>
    <w:rsid w:val="00C63146"/>
    <w:rsid w:val="00C67C0E"/>
    <w:rsid w:val="00C90FC0"/>
    <w:rsid w:val="00CA2A70"/>
    <w:rsid w:val="00CA3C71"/>
    <w:rsid w:val="00CC3AFC"/>
    <w:rsid w:val="00CC45A3"/>
    <w:rsid w:val="00CD2015"/>
    <w:rsid w:val="00CD4E16"/>
    <w:rsid w:val="00CE00A4"/>
    <w:rsid w:val="00CE20C1"/>
    <w:rsid w:val="00CF5C19"/>
    <w:rsid w:val="00D00752"/>
    <w:rsid w:val="00D03FEB"/>
    <w:rsid w:val="00D2126C"/>
    <w:rsid w:val="00D2198C"/>
    <w:rsid w:val="00D30557"/>
    <w:rsid w:val="00D30AA3"/>
    <w:rsid w:val="00D35AC1"/>
    <w:rsid w:val="00D35D9A"/>
    <w:rsid w:val="00D36A82"/>
    <w:rsid w:val="00D40862"/>
    <w:rsid w:val="00D47874"/>
    <w:rsid w:val="00D513F1"/>
    <w:rsid w:val="00D55014"/>
    <w:rsid w:val="00D601C4"/>
    <w:rsid w:val="00D646E2"/>
    <w:rsid w:val="00D6534E"/>
    <w:rsid w:val="00D84F84"/>
    <w:rsid w:val="00D93452"/>
    <w:rsid w:val="00DA246B"/>
    <w:rsid w:val="00DA256B"/>
    <w:rsid w:val="00DC42AF"/>
    <w:rsid w:val="00DC6E0E"/>
    <w:rsid w:val="00DD2F72"/>
    <w:rsid w:val="00DE2263"/>
    <w:rsid w:val="00DF43CE"/>
    <w:rsid w:val="00E0040B"/>
    <w:rsid w:val="00E02AA7"/>
    <w:rsid w:val="00E02BBB"/>
    <w:rsid w:val="00E05024"/>
    <w:rsid w:val="00E12216"/>
    <w:rsid w:val="00E1652F"/>
    <w:rsid w:val="00E25D83"/>
    <w:rsid w:val="00E268E9"/>
    <w:rsid w:val="00E40C65"/>
    <w:rsid w:val="00E443AE"/>
    <w:rsid w:val="00E51595"/>
    <w:rsid w:val="00E54D6E"/>
    <w:rsid w:val="00E63F35"/>
    <w:rsid w:val="00E71A15"/>
    <w:rsid w:val="00E724C2"/>
    <w:rsid w:val="00E7579F"/>
    <w:rsid w:val="00E9767F"/>
    <w:rsid w:val="00EA2BC2"/>
    <w:rsid w:val="00EA461F"/>
    <w:rsid w:val="00EB6887"/>
    <w:rsid w:val="00EC0D0A"/>
    <w:rsid w:val="00EC296A"/>
    <w:rsid w:val="00EC7EE4"/>
    <w:rsid w:val="00ED22A4"/>
    <w:rsid w:val="00ED5B7E"/>
    <w:rsid w:val="00EE0172"/>
    <w:rsid w:val="00EE6DD1"/>
    <w:rsid w:val="00EF7208"/>
    <w:rsid w:val="00EF7549"/>
    <w:rsid w:val="00F00D41"/>
    <w:rsid w:val="00F03248"/>
    <w:rsid w:val="00F04AFF"/>
    <w:rsid w:val="00F07C7E"/>
    <w:rsid w:val="00F1320F"/>
    <w:rsid w:val="00F31A31"/>
    <w:rsid w:val="00F3201B"/>
    <w:rsid w:val="00F35478"/>
    <w:rsid w:val="00F357E4"/>
    <w:rsid w:val="00F47E04"/>
    <w:rsid w:val="00F55125"/>
    <w:rsid w:val="00F63D72"/>
    <w:rsid w:val="00F71234"/>
    <w:rsid w:val="00F71772"/>
    <w:rsid w:val="00F72758"/>
    <w:rsid w:val="00F911A5"/>
    <w:rsid w:val="00FA09F0"/>
    <w:rsid w:val="00FA1573"/>
    <w:rsid w:val="00FA4B9F"/>
    <w:rsid w:val="00FC0F4D"/>
    <w:rsid w:val="00FC1143"/>
    <w:rsid w:val="00FE0C85"/>
    <w:rsid w:val="00FE37AE"/>
    <w:rsid w:val="00FE4D75"/>
    <w:rsid w:val="00FF3BDF"/>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14:defaultImageDpi w14:val="96"/>
  <w15:docId w15:val="{1F5254CE-9502-4D63-A3E8-A345D851B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9"/>
    <w:qFormat/>
    <w:pPr>
      <w:keepNext/>
      <w:numPr>
        <w:numId w:val="8"/>
      </w:numPr>
      <w:spacing w:before="240" w:after="240" w:line="240" w:lineRule="auto"/>
      <w:outlineLvl w:val="0"/>
    </w:pPr>
    <w:rPr>
      <w:rFonts w:ascii="Times New Roman" w:hAnsi="Times New Roman"/>
      <w:b/>
      <w:bCs/>
      <w:sz w:val="24"/>
      <w:szCs w:val="24"/>
    </w:rPr>
  </w:style>
  <w:style w:type="paragraph" w:styleId="Heading2">
    <w:name w:val="heading 2"/>
    <w:basedOn w:val="Normal"/>
    <w:next w:val="Normal"/>
    <w:link w:val="Heading2Char"/>
    <w:uiPriority w:val="99"/>
    <w:qFormat/>
    <w:pPr>
      <w:keepNext/>
      <w:numPr>
        <w:ilvl w:val="1"/>
        <w:numId w:val="8"/>
      </w:numPr>
      <w:spacing w:before="240" w:after="240" w:line="240" w:lineRule="auto"/>
      <w:outlineLvl w:val="1"/>
    </w:pPr>
    <w:rPr>
      <w:rFonts w:ascii="Times New Roman" w:hAnsi="Times New Roman" w:cs="Arial"/>
      <w:b/>
      <w:bCs/>
      <w:iCs/>
      <w:sz w:val="24"/>
      <w:szCs w:val="28"/>
    </w:rPr>
  </w:style>
  <w:style w:type="paragraph" w:styleId="Heading3">
    <w:name w:val="heading 3"/>
    <w:basedOn w:val="Normal"/>
    <w:next w:val="Normal"/>
    <w:link w:val="Heading3Char"/>
    <w:uiPriority w:val="99"/>
    <w:qFormat/>
    <w:pPr>
      <w:keepNext/>
      <w:numPr>
        <w:ilvl w:val="2"/>
        <w:numId w:val="8"/>
      </w:numPr>
      <w:spacing w:before="240" w:after="240" w:line="240" w:lineRule="auto"/>
      <w:outlineLvl w:val="2"/>
    </w:pPr>
    <w:rPr>
      <w:rFonts w:ascii="Times New Roman" w:hAnsi="Times New Roman" w:cs="Arial"/>
      <w:b/>
      <w:bCs/>
      <w:sz w:val="24"/>
      <w:szCs w:val="26"/>
    </w:rPr>
  </w:style>
  <w:style w:type="paragraph" w:styleId="Heading4">
    <w:name w:val="heading 4"/>
    <w:basedOn w:val="Normal"/>
    <w:next w:val="Normal"/>
    <w:link w:val="Heading4Char"/>
    <w:uiPriority w:val="99"/>
    <w:qFormat/>
    <w:pPr>
      <w:keepNext/>
      <w:numPr>
        <w:ilvl w:val="3"/>
        <w:numId w:val="8"/>
      </w:numPr>
      <w:spacing w:before="240" w:after="60" w:line="240" w:lineRule="auto"/>
      <w:outlineLvl w:val="3"/>
    </w:pPr>
    <w:rPr>
      <w:rFonts w:ascii="Times New Roman" w:hAnsi="Times New Roman"/>
      <w:b/>
      <w:bCs/>
      <w:sz w:val="28"/>
      <w:szCs w:val="28"/>
    </w:rPr>
  </w:style>
  <w:style w:type="paragraph" w:styleId="Heading5">
    <w:name w:val="heading 5"/>
    <w:basedOn w:val="Normal"/>
    <w:next w:val="Normal"/>
    <w:link w:val="Heading5Char"/>
    <w:uiPriority w:val="99"/>
    <w:qFormat/>
    <w:pPr>
      <w:numPr>
        <w:ilvl w:val="4"/>
        <w:numId w:val="8"/>
      </w:numPr>
      <w:spacing w:before="240" w:after="60" w:line="240" w:lineRule="auto"/>
      <w:outlineLvl w:val="4"/>
    </w:pPr>
    <w:rPr>
      <w:rFonts w:ascii="Times New Roman" w:hAnsi="Times New Roman"/>
      <w:b/>
      <w:bCs/>
      <w:i/>
      <w:iCs/>
      <w:sz w:val="26"/>
      <w:szCs w:val="26"/>
    </w:rPr>
  </w:style>
  <w:style w:type="paragraph" w:styleId="Heading6">
    <w:name w:val="heading 6"/>
    <w:basedOn w:val="Normal"/>
    <w:next w:val="Normal"/>
    <w:link w:val="Heading6Char"/>
    <w:uiPriority w:val="99"/>
    <w:qFormat/>
    <w:pPr>
      <w:numPr>
        <w:ilvl w:val="5"/>
        <w:numId w:val="8"/>
      </w:numPr>
      <w:spacing w:before="240" w:after="60" w:line="240" w:lineRule="auto"/>
      <w:outlineLvl w:val="5"/>
    </w:pPr>
    <w:rPr>
      <w:rFonts w:ascii="Times New Roman" w:hAnsi="Times New Roman"/>
      <w:b/>
      <w:bCs/>
    </w:rPr>
  </w:style>
  <w:style w:type="paragraph" w:styleId="Heading7">
    <w:name w:val="heading 7"/>
    <w:basedOn w:val="Normal"/>
    <w:next w:val="Normal"/>
    <w:link w:val="Heading7Char"/>
    <w:uiPriority w:val="99"/>
    <w:qFormat/>
    <w:pPr>
      <w:numPr>
        <w:ilvl w:val="6"/>
        <w:numId w:val="8"/>
      </w:numPr>
      <w:spacing w:before="240" w:after="60" w:line="240" w:lineRule="auto"/>
      <w:outlineLvl w:val="6"/>
    </w:pPr>
    <w:rPr>
      <w:rFonts w:ascii="Times New Roman" w:hAnsi="Times New Roman"/>
      <w:sz w:val="24"/>
      <w:szCs w:val="24"/>
    </w:rPr>
  </w:style>
  <w:style w:type="paragraph" w:styleId="Heading8">
    <w:name w:val="heading 8"/>
    <w:basedOn w:val="Normal"/>
    <w:next w:val="Normal"/>
    <w:link w:val="Heading8Char"/>
    <w:uiPriority w:val="99"/>
    <w:qFormat/>
    <w:pPr>
      <w:numPr>
        <w:ilvl w:val="7"/>
        <w:numId w:val="8"/>
      </w:numPr>
      <w:spacing w:before="240" w:after="60" w:line="240" w:lineRule="auto"/>
      <w:outlineLvl w:val="7"/>
    </w:pPr>
    <w:rPr>
      <w:rFonts w:ascii="Times New Roman" w:hAnsi="Times New Roman"/>
      <w:i/>
      <w:iCs/>
      <w:sz w:val="24"/>
      <w:szCs w:val="24"/>
    </w:rPr>
  </w:style>
  <w:style w:type="paragraph" w:styleId="Heading9">
    <w:name w:val="heading 9"/>
    <w:basedOn w:val="Normal"/>
    <w:next w:val="Normal"/>
    <w:link w:val="Heading9Char"/>
    <w:uiPriority w:val="99"/>
    <w:qFormat/>
    <w:pPr>
      <w:numPr>
        <w:ilvl w:val="8"/>
        <w:numId w:val="8"/>
      </w:numPr>
      <w:spacing w:before="240" w:after="60" w:line="240" w:lineRule="auto"/>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imes New Roman" w:hAnsi="Times New Roman" w:cs="Times New Roman"/>
      <w:b/>
      <w:bCs/>
      <w:sz w:val="24"/>
      <w:szCs w:val="24"/>
    </w:rPr>
  </w:style>
  <w:style w:type="character" w:customStyle="1" w:styleId="Heading2Char">
    <w:name w:val="Heading 2 Char"/>
    <w:basedOn w:val="DefaultParagraphFont"/>
    <w:link w:val="Heading2"/>
    <w:uiPriority w:val="99"/>
    <w:locked/>
    <w:rPr>
      <w:rFonts w:ascii="Times New Roman" w:hAnsi="Times New Roman" w:cs="Arial"/>
      <w:b/>
      <w:bCs/>
      <w:iCs/>
      <w:sz w:val="28"/>
      <w:szCs w:val="28"/>
    </w:rPr>
  </w:style>
  <w:style w:type="character" w:customStyle="1" w:styleId="Heading3Char">
    <w:name w:val="Heading 3 Char"/>
    <w:basedOn w:val="DefaultParagraphFont"/>
    <w:link w:val="Heading3"/>
    <w:uiPriority w:val="99"/>
    <w:locked/>
    <w:rPr>
      <w:rFonts w:ascii="Times New Roman" w:hAnsi="Times New Roman" w:cs="Arial"/>
      <w:b/>
      <w:bCs/>
      <w:sz w:val="26"/>
      <w:szCs w:val="26"/>
    </w:rPr>
  </w:style>
  <w:style w:type="character" w:customStyle="1" w:styleId="Heading4Char">
    <w:name w:val="Heading 4 Char"/>
    <w:basedOn w:val="DefaultParagraphFont"/>
    <w:link w:val="Heading4"/>
    <w:uiPriority w:val="99"/>
    <w:locked/>
    <w:rPr>
      <w:rFonts w:ascii="Times New Roman" w:hAnsi="Times New Roman" w:cs="Times New Roman"/>
      <w:b/>
      <w:bCs/>
      <w:sz w:val="28"/>
      <w:szCs w:val="28"/>
    </w:rPr>
  </w:style>
  <w:style w:type="character" w:customStyle="1" w:styleId="Heading5Char">
    <w:name w:val="Heading 5 Char"/>
    <w:basedOn w:val="DefaultParagraphFont"/>
    <w:link w:val="Heading5"/>
    <w:uiPriority w:val="99"/>
    <w:locked/>
    <w:rPr>
      <w:rFonts w:ascii="Times New Roman" w:hAnsi="Times New Roman" w:cs="Times New Roman"/>
      <w:b/>
      <w:bCs/>
      <w:i/>
      <w:iCs/>
      <w:sz w:val="26"/>
      <w:szCs w:val="26"/>
    </w:rPr>
  </w:style>
  <w:style w:type="character" w:customStyle="1" w:styleId="Heading6Char">
    <w:name w:val="Heading 6 Char"/>
    <w:basedOn w:val="DefaultParagraphFont"/>
    <w:link w:val="Heading6"/>
    <w:uiPriority w:val="99"/>
    <w:locked/>
    <w:rPr>
      <w:rFonts w:ascii="Times New Roman" w:hAnsi="Times New Roman" w:cs="Times New Roman"/>
      <w:b/>
      <w:bCs/>
    </w:rPr>
  </w:style>
  <w:style w:type="character" w:customStyle="1" w:styleId="Heading7Char">
    <w:name w:val="Heading 7 Char"/>
    <w:basedOn w:val="DefaultParagraphFont"/>
    <w:link w:val="Heading7"/>
    <w:uiPriority w:val="99"/>
    <w:locked/>
    <w:rPr>
      <w:rFonts w:ascii="Times New Roman" w:hAnsi="Times New Roman" w:cs="Times New Roman"/>
      <w:sz w:val="24"/>
      <w:szCs w:val="24"/>
    </w:rPr>
  </w:style>
  <w:style w:type="character" w:customStyle="1" w:styleId="Heading8Char">
    <w:name w:val="Heading 8 Char"/>
    <w:basedOn w:val="DefaultParagraphFont"/>
    <w:link w:val="Heading8"/>
    <w:uiPriority w:val="99"/>
    <w:locked/>
    <w:rPr>
      <w:rFonts w:ascii="Times New Roman" w:hAnsi="Times New Roman" w:cs="Times New Roman"/>
      <w:i/>
      <w:iCs/>
      <w:sz w:val="24"/>
      <w:szCs w:val="24"/>
    </w:rPr>
  </w:style>
  <w:style w:type="character" w:customStyle="1" w:styleId="Heading9Char">
    <w:name w:val="Heading 9 Char"/>
    <w:basedOn w:val="DefaultParagraphFont"/>
    <w:link w:val="Heading9"/>
    <w:uiPriority w:val="99"/>
    <w:locked/>
    <w:rPr>
      <w:rFonts w:ascii="Arial" w:hAnsi="Arial" w:cs="Arial"/>
    </w:r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pPr>
      <w:tabs>
        <w:tab w:val="center" w:pos="4680"/>
        <w:tab w:val="right" w:pos="9360"/>
      </w:tabs>
      <w:spacing w:after="0" w:line="240" w:lineRule="auto"/>
    </w:pPr>
  </w:style>
  <w:style w:type="character" w:customStyle="1" w:styleId="HeaderChar">
    <w:name w:val="Header Char"/>
    <w:basedOn w:val="DefaultParagraphFont"/>
    <w:link w:val="Header"/>
    <w:uiPriority w:val="99"/>
    <w:locked/>
    <w:rPr>
      <w:rFonts w:cs="Times New Roman"/>
    </w:rPr>
  </w:style>
  <w:style w:type="paragraph" w:styleId="Footer">
    <w:name w:val="footer"/>
    <w:basedOn w:val="Normal"/>
    <w:link w:val="FooterChar"/>
    <w:uiPriority w:val="99"/>
    <w:pPr>
      <w:tabs>
        <w:tab w:val="center" w:pos="4680"/>
        <w:tab w:val="right" w:pos="9360"/>
      </w:tabs>
      <w:spacing w:after="0" w:line="240" w:lineRule="auto"/>
    </w:pPr>
  </w:style>
  <w:style w:type="character" w:customStyle="1" w:styleId="FooterChar">
    <w:name w:val="Footer Char"/>
    <w:basedOn w:val="DefaultParagraphFont"/>
    <w:link w:val="Footer"/>
    <w:uiPriority w:val="99"/>
    <w:locked/>
    <w:rPr>
      <w:rFonts w:cs="Times New Roman"/>
    </w:rPr>
  </w:style>
  <w:style w:type="paragraph" w:styleId="BalloonText">
    <w:name w:val="Balloon Text"/>
    <w:basedOn w:val="Normal"/>
    <w:link w:val="BalloonTextChar"/>
    <w:uiPriority w:val="99"/>
    <w:semiHidden/>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preamble">
    <w:name w:val="preamble"/>
    <w:basedOn w:val="Normal"/>
    <w:uiPriority w:val="99"/>
    <w:pPr>
      <w:spacing w:after="0" w:line="480" w:lineRule="auto"/>
    </w:pPr>
    <w:rPr>
      <w:rFonts w:ascii="Times New Roman" w:hAnsi="Times New Roman"/>
      <w:sz w:val="24"/>
      <w:szCs w:val="20"/>
    </w:rPr>
  </w:style>
  <w:style w:type="paragraph" w:styleId="Title">
    <w:name w:val="Title"/>
    <w:basedOn w:val="Normal"/>
    <w:link w:val="TitleChar"/>
    <w:uiPriority w:val="99"/>
    <w:qFormat/>
    <w:pPr>
      <w:spacing w:after="0" w:line="240" w:lineRule="auto"/>
      <w:jc w:val="center"/>
    </w:pPr>
    <w:rPr>
      <w:rFonts w:ascii="Times New Roman" w:hAnsi="Times New Roman"/>
      <w:b/>
      <w:sz w:val="24"/>
      <w:szCs w:val="20"/>
    </w:rPr>
  </w:style>
  <w:style w:type="character" w:customStyle="1" w:styleId="TitleChar">
    <w:name w:val="Title Char"/>
    <w:basedOn w:val="DefaultParagraphFont"/>
    <w:link w:val="Title"/>
    <w:uiPriority w:val="99"/>
    <w:locked/>
    <w:rPr>
      <w:rFonts w:ascii="Times New Roman" w:hAnsi="Times New Roman" w:cs="Times New Roman"/>
      <w:b/>
      <w:sz w:val="20"/>
      <w:szCs w:val="20"/>
    </w:rPr>
  </w:style>
  <w:style w:type="paragraph" w:styleId="BodyTextIndent2">
    <w:name w:val="Body Text Indent 2"/>
    <w:basedOn w:val="Normal"/>
    <w:link w:val="BodyTextIndent2Char"/>
    <w:uiPriority w:val="99"/>
    <w:pPr>
      <w:autoSpaceDE w:val="0"/>
      <w:autoSpaceDN w:val="0"/>
      <w:adjustRightInd w:val="0"/>
      <w:spacing w:after="0" w:line="360" w:lineRule="auto"/>
      <w:ind w:firstLine="360"/>
    </w:pPr>
    <w:rPr>
      <w:rFonts w:ascii="Times New Roman" w:hAnsi="Times New Roman"/>
      <w:sz w:val="24"/>
      <w:szCs w:val="20"/>
    </w:rPr>
  </w:style>
  <w:style w:type="character" w:customStyle="1" w:styleId="BodyTextIndent2Char">
    <w:name w:val="Body Text Indent 2 Char"/>
    <w:basedOn w:val="DefaultParagraphFont"/>
    <w:link w:val="BodyTextIndent2"/>
    <w:uiPriority w:val="99"/>
    <w:locked/>
    <w:rPr>
      <w:rFonts w:ascii="Times New Roman" w:hAnsi="Times New Roman" w:cs="Times New Roman"/>
      <w:sz w:val="20"/>
      <w:szCs w:val="20"/>
    </w:rPr>
  </w:style>
  <w:style w:type="paragraph" w:customStyle="1" w:styleId="CLOSINGIndenttomiddle">
    <w:name w:val="CLOSING (Indent to middle)"/>
    <w:uiPriority w:val="99"/>
    <w:pPr>
      <w:keepLines/>
      <w:tabs>
        <w:tab w:val="left" w:pos="720"/>
        <w:tab w:val="left" w:pos="1440"/>
        <w:tab w:val="left" w:pos="2160"/>
        <w:tab w:val="left" w:pos="2880"/>
        <w:tab w:val="left" w:pos="4680"/>
        <w:tab w:val="left" w:pos="5760"/>
        <w:tab w:val="left" w:pos="6912"/>
      </w:tabs>
      <w:spacing w:after="0" w:line="240" w:lineRule="exact"/>
      <w:ind w:left="4320"/>
    </w:pPr>
    <w:rPr>
      <w:rFonts w:ascii="Letter Gothic" w:hAnsi="Letter Gothic"/>
      <w:sz w:val="20"/>
      <w:szCs w:val="20"/>
    </w:rPr>
  </w:style>
  <w:style w:type="paragraph" w:customStyle="1" w:styleId="1">
    <w:name w:val="(1)"/>
    <w:basedOn w:val="Normal"/>
    <w:uiPriority w:val="99"/>
    <w:pPr>
      <w:tabs>
        <w:tab w:val="left" w:pos="1080"/>
      </w:tabs>
      <w:spacing w:after="120" w:line="240" w:lineRule="auto"/>
      <w:ind w:left="288" w:firstLine="288"/>
      <w:jc w:val="both"/>
    </w:pPr>
    <w:rPr>
      <w:rFonts w:ascii="Times New Roman" w:hAnsi="Times New Roman"/>
      <w:szCs w:val="20"/>
    </w:rPr>
  </w:style>
  <w:style w:type="paragraph" w:customStyle="1" w:styleId="a">
    <w:name w:val="a"/>
    <w:basedOn w:val="Normal"/>
    <w:link w:val="aChar"/>
    <w:uiPriority w:val="99"/>
    <w:pPr>
      <w:tabs>
        <w:tab w:val="left" w:pos="720"/>
        <w:tab w:val="left" w:pos="1440"/>
      </w:tabs>
      <w:spacing w:after="120" w:line="240" w:lineRule="auto"/>
      <w:ind w:firstLine="288"/>
      <w:jc w:val="both"/>
    </w:pPr>
    <w:rPr>
      <w:rFonts w:ascii="Times New Roman" w:hAnsi="Times New Roman"/>
      <w:szCs w:val="20"/>
    </w:rPr>
  </w:style>
  <w:style w:type="character" w:customStyle="1" w:styleId="aChar">
    <w:name w:val="a Char"/>
    <w:basedOn w:val="DefaultParagraphFont"/>
    <w:link w:val="a"/>
    <w:uiPriority w:val="99"/>
    <w:locked/>
    <w:rPr>
      <w:rFonts w:ascii="Times New Roman" w:hAnsi="Times New Roman" w:cs="Times New Roman"/>
      <w:sz w:val="20"/>
      <w:szCs w:val="20"/>
    </w:rPr>
  </w:style>
  <w:style w:type="paragraph" w:customStyle="1" w:styleId="subsection">
    <w:name w:val="subsection"/>
    <w:basedOn w:val="Normal"/>
    <w:uiPriority w:val="99"/>
    <w:pPr>
      <w:tabs>
        <w:tab w:val="left" w:pos="1080"/>
        <w:tab w:val="left" w:pos="2160"/>
      </w:tabs>
      <w:spacing w:after="0" w:line="480" w:lineRule="exact"/>
      <w:ind w:left="1080"/>
    </w:pPr>
    <w:rPr>
      <w:rFonts w:ascii="Times New Roman" w:eastAsia="SimSun" w:hAnsi="Times New Roman"/>
      <w:b/>
      <w:sz w:val="20"/>
      <w:szCs w:val="20"/>
    </w:rPr>
  </w:style>
  <w:style w:type="paragraph" w:customStyle="1" w:styleId="paragraph">
    <w:name w:val="paragraph"/>
    <w:basedOn w:val="Normal"/>
    <w:uiPriority w:val="99"/>
    <w:pPr>
      <w:spacing w:after="0" w:line="480" w:lineRule="auto"/>
      <w:ind w:left="1440" w:hanging="720"/>
    </w:pPr>
    <w:rPr>
      <w:rFonts w:ascii="Times New Roman" w:eastAsia="SimSun" w:hAnsi="Times New Roman"/>
      <w:sz w:val="24"/>
      <w:szCs w:val="20"/>
    </w:rPr>
  </w:style>
  <w:style w:type="character" w:customStyle="1" w:styleId="ft">
    <w:name w:val="ft"/>
    <w:basedOn w:val="DefaultParagraphFont"/>
    <w:uiPriority w:val="99"/>
    <w:rPr>
      <w:rFonts w:cs="Times New Roman"/>
    </w:rPr>
  </w:style>
  <w:style w:type="character" w:styleId="CommentReference">
    <w:name w:val="annotation reference"/>
    <w:basedOn w:val="DefaultParagraphFont"/>
    <w:uiPriority w:val="99"/>
    <w:semiHidden/>
    <w:rPr>
      <w:rFonts w:cs="Times New Roman"/>
      <w:sz w:val="16"/>
      <w:szCs w:val="16"/>
    </w:rPr>
  </w:style>
  <w:style w:type="paragraph" w:styleId="CommentText">
    <w:name w:val="annotation text"/>
    <w:basedOn w:val="Normal"/>
    <w:link w:val="CommentTextChar"/>
    <w:uiPriority w:val="99"/>
    <w:semiHidden/>
    <w:pPr>
      <w:spacing w:line="240" w:lineRule="auto"/>
    </w:pPr>
    <w:rPr>
      <w:sz w:val="20"/>
      <w:szCs w:val="20"/>
    </w:rPr>
  </w:style>
  <w:style w:type="character" w:customStyle="1" w:styleId="CommentTextChar">
    <w:name w:val="Comment Text Char"/>
    <w:basedOn w:val="DefaultParagraphFont"/>
    <w:link w:val="CommentText"/>
    <w:uiPriority w:val="99"/>
    <w:semiHidden/>
    <w:locked/>
    <w:rPr>
      <w:rFonts w:cs="Times New Roman"/>
      <w:sz w:val="20"/>
      <w:szCs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basedOn w:val="CommentTextChar"/>
    <w:link w:val="CommentSubject"/>
    <w:uiPriority w:val="99"/>
    <w:semiHidden/>
    <w:locked/>
    <w:rPr>
      <w:rFonts w:cs="Times New Roman"/>
      <w:b/>
      <w:bCs/>
      <w:sz w:val="20"/>
      <w:szCs w:val="20"/>
    </w:rPr>
  </w:style>
  <w:style w:type="paragraph" w:styleId="BodyText">
    <w:name w:val="Body Text"/>
    <w:basedOn w:val="Normal"/>
    <w:link w:val="BodyTextChar"/>
    <w:uiPriority w:val="99"/>
    <w:semiHidden/>
    <w:pPr>
      <w:spacing w:after="120"/>
    </w:pPr>
  </w:style>
  <w:style w:type="character" w:customStyle="1" w:styleId="BodyTextChar">
    <w:name w:val="Body Text Char"/>
    <w:basedOn w:val="DefaultParagraphFont"/>
    <w:link w:val="BodyText"/>
    <w:uiPriority w:val="99"/>
    <w:semiHidden/>
    <w:locked/>
    <w:rPr>
      <w:rFonts w:cs="Times New Roman"/>
    </w:rPr>
  </w:style>
  <w:style w:type="paragraph" w:styleId="EndnoteText">
    <w:name w:val="endnote text"/>
    <w:basedOn w:val="Normal"/>
    <w:link w:val="EndnoteTextChar"/>
    <w:uiPriority w:val="99"/>
    <w:semiHidden/>
    <w:pPr>
      <w:spacing w:after="0" w:line="240" w:lineRule="auto"/>
    </w:pPr>
    <w:rPr>
      <w:sz w:val="20"/>
      <w:szCs w:val="20"/>
    </w:rPr>
  </w:style>
  <w:style w:type="character" w:customStyle="1" w:styleId="EndnoteTextChar">
    <w:name w:val="Endnote Text Char"/>
    <w:basedOn w:val="DefaultParagraphFont"/>
    <w:link w:val="EndnoteText"/>
    <w:uiPriority w:val="99"/>
    <w:semiHidden/>
    <w:locked/>
    <w:rPr>
      <w:rFonts w:cs="Times New Roman"/>
      <w:sz w:val="20"/>
      <w:szCs w:val="20"/>
    </w:rPr>
  </w:style>
  <w:style w:type="character" w:styleId="EndnoteReference">
    <w:name w:val="endnote reference"/>
    <w:basedOn w:val="DefaultParagraphFont"/>
    <w:uiPriority w:val="99"/>
    <w:semiHidden/>
    <w:rPr>
      <w:rFonts w:cs="Times New Roman"/>
      <w:vertAlign w:val="superscript"/>
    </w:rPr>
  </w:style>
  <w:style w:type="paragraph" w:styleId="FootnoteText">
    <w:name w:val="footnote text"/>
    <w:basedOn w:val="Normal"/>
    <w:link w:val="FootnoteTextChar"/>
    <w:pPr>
      <w:spacing w:after="0" w:line="240" w:lineRule="auto"/>
    </w:pPr>
    <w:rPr>
      <w:sz w:val="20"/>
      <w:szCs w:val="20"/>
    </w:rPr>
  </w:style>
  <w:style w:type="character" w:customStyle="1" w:styleId="FootnoteTextChar">
    <w:name w:val="Footnote Text Char"/>
    <w:basedOn w:val="DefaultParagraphFont"/>
    <w:link w:val="FootnoteText"/>
    <w:locked/>
    <w:rPr>
      <w:rFonts w:cs="Times New Roman"/>
      <w:sz w:val="20"/>
      <w:szCs w:val="20"/>
    </w:rPr>
  </w:style>
  <w:style w:type="character" w:styleId="FootnoteReference">
    <w:name w:val="footnote reference"/>
    <w:basedOn w:val="DefaultParagraphFont"/>
    <w:rPr>
      <w:rFonts w:cs="Times New Roman"/>
      <w:vertAlign w:val="superscript"/>
    </w:rPr>
  </w:style>
  <w:style w:type="character" w:customStyle="1" w:styleId="st1">
    <w:name w:val="st1"/>
    <w:basedOn w:val="DefaultParagraphFont"/>
    <w:uiPriority w:val="99"/>
    <w:rPr>
      <w:rFonts w:cs="Times New Roman"/>
    </w:rPr>
  </w:style>
  <w:style w:type="paragraph" w:styleId="HTMLAddress">
    <w:name w:val="HTML Address"/>
    <w:basedOn w:val="Normal"/>
    <w:link w:val="HTMLAddressChar"/>
    <w:uiPriority w:val="99"/>
    <w:semiHidden/>
    <w:pPr>
      <w:spacing w:after="0" w:line="240" w:lineRule="auto"/>
    </w:pPr>
    <w:rPr>
      <w:rFonts w:ascii="Times New Roman" w:hAnsi="Times New Roman"/>
      <w:sz w:val="24"/>
      <w:szCs w:val="24"/>
    </w:rPr>
  </w:style>
  <w:style w:type="character" w:customStyle="1" w:styleId="HTMLAddressChar">
    <w:name w:val="HTML Address Char"/>
    <w:basedOn w:val="DefaultParagraphFont"/>
    <w:link w:val="HTMLAddress"/>
    <w:uiPriority w:val="99"/>
    <w:semiHidden/>
    <w:locked/>
    <w:rPr>
      <w:rFonts w:ascii="Times New Roman" w:hAnsi="Times New Roman" w:cs="Times New Roman"/>
      <w:sz w:val="24"/>
      <w:szCs w:val="24"/>
    </w:rPr>
  </w:style>
  <w:style w:type="character" w:customStyle="1" w:styleId="baec5a81-e4d6-4674-97f3-e9220f0136c1">
    <w:name w:val="baec5a81-e4d6-4674-97f3-e9220f0136c1"/>
    <w:basedOn w:val="DefaultParagraphFont"/>
    <w:uiPriority w:val="99"/>
    <w:rPr>
      <w:rFonts w:cs="Times New Roman"/>
    </w:rPr>
  </w:style>
  <w:style w:type="paragraph" w:styleId="NormalWeb">
    <w:name w:val="Normal (Web)"/>
    <w:basedOn w:val="Normal"/>
    <w:uiPriority w:val="99"/>
    <w:pPr>
      <w:spacing w:before="100" w:beforeAutospacing="1" w:after="100" w:afterAutospacing="1" w:line="240" w:lineRule="auto"/>
    </w:pPr>
    <w:rPr>
      <w:rFonts w:ascii="Times New Roman" w:hAnsi="Times New Roman"/>
      <w:sz w:val="24"/>
      <w:szCs w:val="24"/>
    </w:rPr>
  </w:style>
  <w:style w:type="character" w:styleId="Hyperlink">
    <w:name w:val="Hyperlink"/>
    <w:basedOn w:val="DefaultParagraphFont"/>
    <w:uiPriority w:val="99"/>
    <w:semiHidden/>
    <w:rPr>
      <w:rFonts w:cs="Times New Roman"/>
      <w:color w:val="0000FF"/>
      <w:u w:val="single"/>
    </w:rPr>
  </w:style>
  <w:style w:type="character" w:styleId="PageNumber">
    <w:name w:val="page number"/>
    <w:basedOn w:val="DefaultParagraphFont"/>
    <w:uiPriority w:val="99"/>
    <w:rPr>
      <w:rFonts w:cs="Times New Roman"/>
    </w:rPr>
  </w:style>
  <w:style w:type="paragraph" w:customStyle="1" w:styleId="Default">
    <w:name w:val="Default"/>
    <w:rsid w:val="00E54D6E"/>
    <w:pPr>
      <w:autoSpaceDE w:val="0"/>
      <w:autoSpaceDN w:val="0"/>
      <w:adjustRightInd w:val="0"/>
      <w:spacing w:after="0" w:line="240" w:lineRule="auto"/>
    </w:pPr>
    <w:rPr>
      <w:rFonts w:ascii="Times New Roman" w:hAnsi="Times New Roman"/>
      <w:color w:val="000000"/>
      <w:sz w:val="24"/>
      <w:szCs w:val="24"/>
    </w:rPr>
  </w:style>
  <w:style w:type="character" w:customStyle="1" w:styleId="one-click">
    <w:name w:val="one-click"/>
    <w:basedOn w:val="DefaultParagraphFont"/>
    <w:rsid w:val="000D0F89"/>
  </w:style>
  <w:style w:type="character" w:styleId="Emphasis">
    <w:name w:val="Emphasis"/>
    <w:basedOn w:val="DefaultParagraphFont"/>
    <w:uiPriority w:val="20"/>
    <w:qFormat/>
    <w:locked/>
    <w:rsid w:val="000D0F89"/>
    <w:rPr>
      <w:i/>
      <w:iCs/>
    </w:rPr>
  </w:style>
  <w:style w:type="table" w:styleId="LightListAccent3">
    <w:name w:val="Light List Accent 3"/>
    <w:basedOn w:val="TableNormal"/>
    <w:uiPriority w:val="61"/>
    <w:rsid w:val="005F24A2"/>
    <w:pPr>
      <w:spacing w:after="0" w:line="240" w:lineRule="auto"/>
    </w:pPr>
    <w:rPr>
      <w:rFonts w:asciiTheme="minorHAnsi" w:eastAsiaTheme="minorEastAsia" w:hAnsiTheme="minorHAnsi" w:cstheme="minorBidi"/>
      <w:lang w:bidi="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NoSpacing">
    <w:name w:val="No Spacing"/>
    <w:uiPriority w:val="1"/>
    <w:qFormat/>
    <w:rsid w:val="005F24A2"/>
    <w:pPr>
      <w:spacing w:after="0" w:line="240" w:lineRule="auto"/>
    </w:pPr>
  </w:style>
  <w:style w:type="paragraph" w:styleId="Bibliography">
    <w:name w:val="Bibliography"/>
    <w:basedOn w:val="Normal"/>
    <w:next w:val="Normal"/>
    <w:uiPriority w:val="37"/>
    <w:unhideWhenUsed/>
    <w:rsid w:val="00772AE8"/>
    <w:rPr>
      <w:rFonts w:asciiTheme="minorHAnsi" w:eastAsiaTheme="minorHAnsi" w:hAnsiTheme="minorHAnsi" w:cstheme="minorBidi"/>
    </w:rPr>
  </w:style>
  <w:style w:type="character" w:styleId="FollowedHyperlink">
    <w:name w:val="FollowedHyperlink"/>
    <w:basedOn w:val="DefaultParagraphFont"/>
    <w:uiPriority w:val="99"/>
    <w:semiHidden/>
    <w:unhideWhenUsed/>
    <w:rsid w:val="00297514"/>
    <w:rPr>
      <w:color w:val="800080" w:themeColor="followedHyperlink"/>
      <w:u w:val="single"/>
    </w:rPr>
  </w:style>
  <w:style w:type="table" w:styleId="TableGrid">
    <w:name w:val="Table Grid"/>
    <w:basedOn w:val="TableNormal"/>
    <w:locked/>
    <w:rsid w:val="000C3CA3"/>
    <w:pPr>
      <w:spacing w:after="0" w:line="240" w:lineRule="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 Id="rId8" Type="http://schemas.microsoft.com/office/2011/relationships/people" Target="peop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1524</Words>
  <Characters>8571</Characters>
  <Application>Microsoft Office Word</Application>
  <DocSecurity>0</DocSecurity>
  <Lines>73</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